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5720A" w:rsidRDefault="0065720A" w:rsidP="00F84688">
      <w:pPr>
        <w:pStyle w:val="Ttulo1"/>
        <w:rPr>
          <w:lang w:val="es-ES"/>
        </w:rPr>
      </w:pPr>
      <w:r>
        <w:rPr>
          <w:lang w:val="es-ES"/>
        </w:rPr>
        <w:t xml:space="preserve">Comparativo de normas afectadas con el proyecto de Ley </w:t>
      </w:r>
      <w:r w:rsidR="00FB60A2" w:rsidRPr="00FB60A2">
        <w:rPr>
          <w:lang w:val="es-ES"/>
        </w:rPr>
        <w:t xml:space="preserve"> </w:t>
      </w:r>
      <w:r w:rsidR="00D75C22">
        <w:rPr>
          <w:lang w:val="es-ES"/>
        </w:rPr>
        <w:t xml:space="preserve">de reforma </w:t>
      </w:r>
      <w:proofErr w:type="spellStart"/>
      <w:r w:rsidR="00D75C22">
        <w:rPr>
          <w:lang w:val="es-ES"/>
        </w:rPr>
        <w:t>tribuataria</w:t>
      </w:r>
      <w:proofErr w:type="spellEnd"/>
      <w:r w:rsidR="00D75C22">
        <w:rPr>
          <w:lang w:val="es-ES"/>
        </w:rPr>
        <w:t xml:space="preserve"> </w:t>
      </w:r>
      <w:r w:rsidR="00FB60A2" w:rsidRPr="00FB60A2">
        <w:rPr>
          <w:lang w:val="es-ES"/>
        </w:rPr>
        <w:t>283/2025C</w:t>
      </w:r>
      <w:r w:rsidR="00FB60A2">
        <w:rPr>
          <w:lang w:val="es-ES"/>
        </w:rPr>
        <w:t xml:space="preserve"> radicado en </w:t>
      </w:r>
      <w:r>
        <w:rPr>
          <w:lang w:val="es-ES"/>
        </w:rPr>
        <w:t>septiembre 1 de 202</w:t>
      </w:r>
      <w:r w:rsidR="002F7281">
        <w:rPr>
          <w:lang w:val="es-ES"/>
        </w:rPr>
        <w:t>5</w:t>
      </w:r>
    </w:p>
    <w:p w:rsidR="0065720A" w:rsidRDefault="0065720A">
      <w:pPr>
        <w:rPr>
          <w:lang w:val="es-ES"/>
        </w:rPr>
      </w:pPr>
    </w:p>
    <w:p w:rsidR="0065720A" w:rsidRDefault="0065720A">
      <w:pPr>
        <w:rPr>
          <w:lang w:val="es-ES"/>
        </w:rPr>
      </w:pPr>
    </w:p>
    <w:p w:rsidR="00CC04F8" w:rsidRDefault="00CC04F8" w:rsidP="00CC04F8">
      <w:pPr>
        <w:rPr>
          <w:rFonts w:ascii="Cambria" w:hAnsi="Cambria"/>
          <w:color w:val="FF0000"/>
          <w:lang w:val="es-ES"/>
        </w:rPr>
      </w:pPr>
      <w:r w:rsidRPr="00363989">
        <w:rPr>
          <w:rFonts w:ascii="Cambria" w:hAnsi="Cambria"/>
          <w:color w:val="FF0000"/>
          <w:lang w:val="es-ES"/>
        </w:rPr>
        <w:t>(Fec</w:t>
      </w:r>
      <w:r>
        <w:rPr>
          <w:rFonts w:ascii="Cambria" w:hAnsi="Cambria"/>
          <w:color w:val="FF0000"/>
          <w:lang w:val="es-ES"/>
        </w:rPr>
        <w:t xml:space="preserve">ha de elaboración: </w:t>
      </w:r>
      <w:r w:rsidR="003042D8">
        <w:rPr>
          <w:rFonts w:ascii="Cambria" w:hAnsi="Cambria"/>
          <w:color w:val="FF0000"/>
          <w:lang w:val="es-ES"/>
        </w:rPr>
        <w:t xml:space="preserve">Septiembre </w:t>
      </w:r>
      <w:r w:rsidR="00FB60A2">
        <w:rPr>
          <w:rFonts w:ascii="Cambria" w:hAnsi="Cambria"/>
          <w:color w:val="FF0000"/>
          <w:lang w:val="es-ES"/>
        </w:rPr>
        <w:t>19</w:t>
      </w:r>
      <w:r>
        <w:rPr>
          <w:rFonts w:ascii="Cambria" w:hAnsi="Cambria"/>
          <w:color w:val="FF0000"/>
          <w:lang w:val="es-ES"/>
        </w:rPr>
        <w:t xml:space="preserve"> de 202</w:t>
      </w:r>
      <w:r w:rsidR="003042D8">
        <w:rPr>
          <w:rFonts w:ascii="Cambria" w:hAnsi="Cambria"/>
          <w:color w:val="FF0000"/>
          <w:lang w:val="es-ES"/>
        </w:rPr>
        <w:t>5</w:t>
      </w:r>
      <w:r w:rsidRPr="00363989">
        <w:rPr>
          <w:rFonts w:ascii="Cambria" w:hAnsi="Cambria"/>
          <w:color w:val="FF0000"/>
          <w:lang w:val="es-ES"/>
        </w:rPr>
        <w:t>)</w:t>
      </w:r>
    </w:p>
    <w:p w:rsidR="00CC04F8" w:rsidRPr="00363989" w:rsidRDefault="00CC04F8" w:rsidP="00CC04F8">
      <w:pPr>
        <w:rPr>
          <w:rFonts w:ascii="Cambria" w:hAnsi="Cambria"/>
          <w:color w:val="FF0000"/>
          <w:lang w:val="es-ES"/>
        </w:rPr>
      </w:pPr>
      <w:r>
        <w:rPr>
          <w:rFonts w:ascii="Cambria" w:hAnsi="Cambria"/>
          <w:color w:val="FF0000"/>
          <w:lang w:val="es-ES"/>
        </w:rPr>
        <w:t xml:space="preserve">(Fecha de actualización: </w:t>
      </w:r>
      <w:r w:rsidR="003042D8">
        <w:rPr>
          <w:rFonts w:ascii="Cambria" w:hAnsi="Cambria"/>
          <w:color w:val="FF0000"/>
          <w:lang w:val="es-ES"/>
        </w:rPr>
        <w:t xml:space="preserve">Septiembre </w:t>
      </w:r>
      <w:r w:rsidR="00FB60A2">
        <w:rPr>
          <w:rFonts w:ascii="Cambria" w:hAnsi="Cambria"/>
          <w:color w:val="FF0000"/>
          <w:lang w:val="es-ES"/>
        </w:rPr>
        <w:t>19</w:t>
      </w:r>
      <w:r>
        <w:rPr>
          <w:rFonts w:ascii="Cambria" w:hAnsi="Cambria"/>
          <w:color w:val="FF0000"/>
          <w:lang w:val="es-ES"/>
        </w:rPr>
        <w:t xml:space="preserve"> de 202</w:t>
      </w:r>
      <w:r w:rsidR="003042D8">
        <w:rPr>
          <w:rFonts w:ascii="Cambria" w:hAnsi="Cambria"/>
          <w:color w:val="FF0000"/>
          <w:lang w:val="es-ES"/>
        </w:rPr>
        <w:t>5</w:t>
      </w:r>
      <w:r>
        <w:rPr>
          <w:rFonts w:ascii="Cambria" w:hAnsi="Cambria"/>
          <w:color w:val="FF0000"/>
          <w:lang w:val="es-ES"/>
        </w:rPr>
        <w:t>)</w:t>
      </w:r>
    </w:p>
    <w:p w:rsidR="00CC04F8" w:rsidRPr="00875665" w:rsidRDefault="00CC04F8" w:rsidP="00CC04F8">
      <w:pPr>
        <w:rPr>
          <w:rFonts w:ascii="Calibri" w:hAnsi="Calibri"/>
          <w:color w:val="FF0000"/>
          <w:lang w:val="es-ES"/>
        </w:rPr>
      </w:pPr>
      <w:r w:rsidRPr="00363989">
        <w:rPr>
          <w:rFonts w:ascii="Cambria" w:hAnsi="Cambria"/>
          <w:color w:val="FF0000"/>
          <w:lang w:val="es-ES"/>
        </w:rPr>
        <w:t>(Elaborado totalmente por: Diego Hernán Guevara Madrid</w:t>
      </w:r>
      <w:r>
        <w:rPr>
          <w:rFonts w:ascii="Calibri" w:hAnsi="Calibri"/>
          <w:color w:val="FF0000"/>
          <w:lang w:val="es-ES"/>
        </w:rPr>
        <w:t>)</w:t>
      </w:r>
    </w:p>
    <w:p w:rsidR="00CC04F8" w:rsidRPr="00875665" w:rsidRDefault="00CC04F8" w:rsidP="00CC04F8">
      <w:pPr>
        <w:rPr>
          <w:rFonts w:ascii="Calibri" w:hAnsi="Calibri"/>
          <w:lang w:val="es-ES"/>
        </w:rPr>
      </w:pPr>
    </w:p>
    <w:p w:rsidR="00CC04F8" w:rsidRDefault="00CC04F8" w:rsidP="00CC04F8">
      <w:pPr>
        <w:jc w:val="both"/>
        <w:rPr>
          <w:rFonts w:ascii="Cambria" w:hAnsi="Cambria"/>
          <w:sz w:val="20"/>
          <w:szCs w:val="20"/>
        </w:rPr>
      </w:pPr>
      <w:r w:rsidRPr="00CE4E61">
        <w:rPr>
          <w:rFonts w:ascii="Cambria" w:hAnsi="Cambria"/>
          <w:sz w:val="20"/>
          <w:szCs w:val="20"/>
        </w:rPr>
        <w:t>En los cuadros comparativos que se presentan a continuación se podrán estudiar los textos de las normas del Estatuto Tributario, y de otras normas por fuera de dicho Estatuto, que terminar</w:t>
      </w:r>
      <w:r w:rsidR="00FB60A2">
        <w:rPr>
          <w:rFonts w:ascii="Cambria" w:hAnsi="Cambria"/>
          <w:sz w:val="20"/>
          <w:szCs w:val="20"/>
        </w:rPr>
        <w:t>ían</w:t>
      </w:r>
      <w:r w:rsidRPr="00CE4E61">
        <w:rPr>
          <w:rFonts w:ascii="Cambria" w:hAnsi="Cambria"/>
          <w:sz w:val="20"/>
          <w:szCs w:val="20"/>
        </w:rPr>
        <w:t xml:space="preserve"> siendo modificadas parcialmente o derogadas totalmente con algún artículo o artículos de</w:t>
      </w:r>
      <w:r w:rsidR="00FB60A2">
        <w:rPr>
          <w:rFonts w:ascii="Cambria" w:hAnsi="Cambria"/>
          <w:sz w:val="20"/>
          <w:szCs w:val="20"/>
        </w:rPr>
        <w:t xml:space="preserve">l </w:t>
      </w:r>
      <w:hyperlink r:id="rId5" w:history="1">
        <w:r w:rsidR="00FB60A2" w:rsidRPr="00FB60A2">
          <w:rPr>
            <w:rStyle w:val="Hipervnculo"/>
            <w:rFonts w:ascii="Cambria" w:hAnsi="Cambria"/>
            <w:sz w:val="20"/>
            <w:szCs w:val="20"/>
          </w:rPr>
          <w:t xml:space="preserve">nuevo proyecto </w:t>
        </w:r>
        <w:r w:rsidRPr="00FB60A2">
          <w:rPr>
            <w:rStyle w:val="Hipervnculo"/>
            <w:rFonts w:ascii="Cambria" w:hAnsi="Cambria"/>
            <w:sz w:val="20"/>
            <w:szCs w:val="20"/>
          </w:rPr>
          <w:t xml:space="preserve"> </w:t>
        </w:r>
        <w:r w:rsidR="00FB60A2" w:rsidRPr="00FB60A2">
          <w:rPr>
            <w:rStyle w:val="Hipervnculo"/>
            <w:rFonts w:ascii="Cambria" w:hAnsi="Cambria"/>
            <w:sz w:val="20"/>
            <w:szCs w:val="20"/>
          </w:rPr>
          <w:t>de Ley de financiamiento (</w:t>
        </w:r>
        <w:r w:rsidRPr="00FB60A2">
          <w:rPr>
            <w:rStyle w:val="Hipervnculo"/>
            <w:rFonts w:ascii="Cambria" w:hAnsi="Cambria"/>
            <w:sz w:val="20"/>
            <w:szCs w:val="20"/>
          </w:rPr>
          <w:t xml:space="preserve">reforma tributaria </w:t>
        </w:r>
        <w:r w:rsidR="00FB60A2" w:rsidRPr="00FB60A2">
          <w:rPr>
            <w:rStyle w:val="Hipervnculo"/>
            <w:rFonts w:ascii="Cambria" w:hAnsi="Cambria"/>
            <w:sz w:val="20"/>
            <w:szCs w:val="20"/>
          </w:rPr>
          <w:t>) 283/2025 C radicado en el Congreso  en septiembre 1 de 2025</w:t>
        </w:r>
      </w:hyperlink>
      <w:r w:rsidR="003042D8">
        <w:rPr>
          <w:rFonts w:ascii="Cambria" w:hAnsi="Cambria"/>
          <w:sz w:val="20"/>
          <w:szCs w:val="20"/>
        </w:rPr>
        <w:t>.</w:t>
      </w:r>
      <w:r>
        <w:rPr>
          <w:rFonts w:ascii="Cambria" w:hAnsi="Cambria"/>
          <w:sz w:val="20"/>
          <w:szCs w:val="20"/>
        </w:rPr>
        <w:t xml:space="preserve"> </w:t>
      </w:r>
      <w:r w:rsidRPr="00CE4E61">
        <w:rPr>
          <w:rFonts w:ascii="Cambria" w:hAnsi="Cambria"/>
          <w:sz w:val="20"/>
          <w:szCs w:val="20"/>
        </w:rPr>
        <w:t xml:space="preserve"> </w:t>
      </w:r>
      <w:r>
        <w:rPr>
          <w:rFonts w:ascii="Cambria" w:hAnsi="Cambria"/>
          <w:sz w:val="20"/>
          <w:szCs w:val="20"/>
          <w:highlight w:val="yellow"/>
        </w:rPr>
        <w:t xml:space="preserve">Además, para facilitar el estudio de la norma, </w:t>
      </w:r>
      <w:r w:rsidRPr="00CE4E61">
        <w:rPr>
          <w:rFonts w:ascii="Cambria" w:hAnsi="Cambria"/>
          <w:sz w:val="20"/>
          <w:szCs w:val="20"/>
          <w:highlight w:val="yellow"/>
        </w:rPr>
        <w:t xml:space="preserve">hemos resaltado en color amarillo los apartes donde se nota el cambio entre la versión anterior de la norma y </w:t>
      </w:r>
      <w:r w:rsidR="00FB60A2">
        <w:rPr>
          <w:rFonts w:ascii="Cambria" w:hAnsi="Cambria"/>
          <w:sz w:val="20"/>
          <w:szCs w:val="20"/>
          <w:highlight w:val="yellow"/>
        </w:rPr>
        <w:t xml:space="preserve">lo que sería su </w:t>
      </w:r>
      <w:r w:rsidRPr="00CE4E61">
        <w:rPr>
          <w:rFonts w:ascii="Cambria" w:hAnsi="Cambria"/>
          <w:sz w:val="20"/>
          <w:szCs w:val="20"/>
          <w:highlight w:val="yellow"/>
        </w:rPr>
        <w:t>nueva versión luego de los cambios que le i</w:t>
      </w:r>
      <w:r>
        <w:rPr>
          <w:rFonts w:ascii="Cambria" w:hAnsi="Cambria"/>
          <w:sz w:val="20"/>
          <w:szCs w:val="20"/>
          <w:highlight w:val="yellow"/>
        </w:rPr>
        <w:t>ntroduce</w:t>
      </w:r>
      <w:r w:rsidR="00FB60A2">
        <w:rPr>
          <w:rFonts w:ascii="Cambria" w:hAnsi="Cambria"/>
          <w:sz w:val="20"/>
          <w:szCs w:val="20"/>
        </w:rPr>
        <w:t xml:space="preserve"> el proyecto de Ley.</w:t>
      </w:r>
    </w:p>
    <w:p w:rsidR="00FB60A2" w:rsidRPr="00CE4E61" w:rsidRDefault="00FB60A2" w:rsidP="00CC04F8">
      <w:pPr>
        <w:jc w:val="both"/>
        <w:rPr>
          <w:rFonts w:ascii="Cambria" w:hAnsi="Cambria"/>
          <w:sz w:val="20"/>
          <w:szCs w:val="20"/>
        </w:rPr>
      </w:pPr>
    </w:p>
    <w:p w:rsidR="00FB60A2" w:rsidRDefault="00CC04F8" w:rsidP="00CC04F8">
      <w:pPr>
        <w:jc w:val="both"/>
        <w:rPr>
          <w:rFonts w:ascii="Cambria" w:hAnsi="Cambria"/>
          <w:sz w:val="20"/>
          <w:szCs w:val="20"/>
        </w:rPr>
      </w:pPr>
      <w:r w:rsidRPr="00CE4E61">
        <w:rPr>
          <w:rFonts w:ascii="Cambria" w:hAnsi="Cambria"/>
          <w:sz w:val="20"/>
          <w:szCs w:val="20"/>
        </w:rPr>
        <w:t>Así mismo se podrán leer todos los textos de lo</w:t>
      </w:r>
      <w:r>
        <w:rPr>
          <w:rFonts w:ascii="Cambria" w:hAnsi="Cambria"/>
          <w:sz w:val="20"/>
          <w:szCs w:val="20"/>
        </w:rPr>
        <w:t xml:space="preserve">s nuevos artículos que </w:t>
      </w:r>
      <w:r w:rsidR="00FB60A2">
        <w:rPr>
          <w:rFonts w:ascii="Cambria" w:hAnsi="Cambria"/>
          <w:sz w:val="20"/>
          <w:szCs w:val="20"/>
        </w:rPr>
        <w:t>el proyecto de Ley</w:t>
      </w:r>
      <w:r w:rsidRPr="00CE4E61">
        <w:rPr>
          <w:rFonts w:ascii="Cambria" w:hAnsi="Cambria"/>
          <w:sz w:val="20"/>
          <w:szCs w:val="20"/>
        </w:rPr>
        <w:t xml:space="preserve"> le </w:t>
      </w:r>
      <w:r w:rsidR="00FB60A2">
        <w:rPr>
          <w:rFonts w:ascii="Cambria" w:hAnsi="Cambria"/>
          <w:sz w:val="20"/>
          <w:szCs w:val="20"/>
        </w:rPr>
        <w:t>pretende</w:t>
      </w:r>
      <w:r w:rsidRPr="00CE4E61">
        <w:rPr>
          <w:rFonts w:ascii="Cambria" w:hAnsi="Cambria"/>
          <w:sz w:val="20"/>
          <w:szCs w:val="20"/>
        </w:rPr>
        <w:t xml:space="preserve"> a</w:t>
      </w:r>
      <w:r w:rsidR="00FB60A2">
        <w:rPr>
          <w:rFonts w:ascii="Cambria" w:hAnsi="Cambria"/>
          <w:sz w:val="20"/>
          <w:szCs w:val="20"/>
        </w:rPr>
        <w:t>gregar al</w:t>
      </w:r>
      <w:r w:rsidRPr="00CE4E61">
        <w:rPr>
          <w:rFonts w:ascii="Cambria" w:hAnsi="Cambria"/>
          <w:sz w:val="20"/>
          <w:szCs w:val="20"/>
        </w:rPr>
        <w:t xml:space="preserve"> Estatuto Tributario y a otros códigos normativos diferentes a dicho Estatuto.</w:t>
      </w:r>
      <w:r>
        <w:rPr>
          <w:rFonts w:ascii="Cambria" w:hAnsi="Cambria"/>
          <w:sz w:val="20"/>
          <w:szCs w:val="20"/>
        </w:rPr>
        <w:t xml:space="preserve"> Igualmente se podrá leer el texto de todas las normas autónomas que solo </w:t>
      </w:r>
      <w:r w:rsidR="00FB60A2">
        <w:rPr>
          <w:rFonts w:ascii="Cambria" w:hAnsi="Cambria"/>
          <w:sz w:val="20"/>
          <w:szCs w:val="20"/>
        </w:rPr>
        <w:t>quedan</w:t>
      </w:r>
      <w:r>
        <w:rPr>
          <w:rFonts w:ascii="Cambria" w:hAnsi="Cambria"/>
          <w:sz w:val="20"/>
          <w:szCs w:val="20"/>
        </w:rPr>
        <w:t xml:space="preserve"> haciendo parte del cuerpo de</w:t>
      </w:r>
      <w:r w:rsidR="00FB60A2">
        <w:rPr>
          <w:rFonts w:ascii="Cambria" w:hAnsi="Cambria"/>
          <w:sz w:val="20"/>
          <w:szCs w:val="20"/>
        </w:rPr>
        <w:t xml:space="preserve">l proyecto de Ley </w:t>
      </w:r>
      <w:r>
        <w:rPr>
          <w:rFonts w:ascii="Cambria" w:hAnsi="Cambria"/>
          <w:sz w:val="20"/>
          <w:szCs w:val="20"/>
        </w:rPr>
        <w:t>pero que no afecta</w:t>
      </w:r>
      <w:r w:rsidR="00FB60A2">
        <w:rPr>
          <w:rFonts w:ascii="Cambria" w:hAnsi="Cambria"/>
          <w:sz w:val="20"/>
          <w:szCs w:val="20"/>
        </w:rPr>
        <w:t>rían</w:t>
      </w:r>
      <w:r>
        <w:rPr>
          <w:rFonts w:ascii="Cambria" w:hAnsi="Cambria"/>
          <w:sz w:val="20"/>
          <w:szCs w:val="20"/>
        </w:rPr>
        <w:t xml:space="preserve"> ni al Estatuto Tributario ni a otros códigos diferentes a dicho Estatuto. Para ver el índice temático completo de las 1</w:t>
      </w:r>
      <w:r w:rsidR="003042D8">
        <w:rPr>
          <w:rFonts w:ascii="Cambria" w:hAnsi="Cambria"/>
          <w:sz w:val="20"/>
          <w:szCs w:val="20"/>
        </w:rPr>
        <w:t>2</w:t>
      </w:r>
      <w:r w:rsidR="00FB60A2">
        <w:rPr>
          <w:rFonts w:ascii="Cambria" w:hAnsi="Cambria"/>
          <w:sz w:val="20"/>
          <w:szCs w:val="20"/>
        </w:rPr>
        <w:t>1</w:t>
      </w:r>
      <w:r>
        <w:rPr>
          <w:rFonts w:ascii="Cambria" w:hAnsi="Cambria"/>
          <w:sz w:val="20"/>
          <w:szCs w:val="20"/>
        </w:rPr>
        <w:t xml:space="preserve"> normas diferentes que result</w:t>
      </w:r>
      <w:r w:rsidR="00FB60A2">
        <w:rPr>
          <w:rFonts w:ascii="Cambria" w:hAnsi="Cambria"/>
          <w:sz w:val="20"/>
          <w:szCs w:val="20"/>
        </w:rPr>
        <w:t>arían</w:t>
      </w:r>
      <w:r>
        <w:rPr>
          <w:rFonts w:ascii="Cambria" w:hAnsi="Cambria"/>
          <w:sz w:val="20"/>
          <w:szCs w:val="20"/>
        </w:rPr>
        <w:t xml:space="preserve"> siendo afectadas con los 9</w:t>
      </w:r>
      <w:r w:rsidR="003042D8">
        <w:rPr>
          <w:rFonts w:ascii="Cambria" w:hAnsi="Cambria"/>
          <w:sz w:val="20"/>
          <w:szCs w:val="20"/>
        </w:rPr>
        <w:t>5</w:t>
      </w:r>
      <w:r>
        <w:rPr>
          <w:rFonts w:ascii="Cambria" w:hAnsi="Cambria"/>
          <w:sz w:val="20"/>
          <w:szCs w:val="20"/>
        </w:rPr>
        <w:t xml:space="preserve"> artículos </w:t>
      </w:r>
      <w:r w:rsidR="00FB60A2">
        <w:rPr>
          <w:rFonts w:ascii="Cambria" w:hAnsi="Cambria"/>
          <w:sz w:val="20"/>
          <w:szCs w:val="20"/>
        </w:rPr>
        <w:t xml:space="preserve">del proyecto de Ley </w:t>
      </w:r>
      <w:r>
        <w:rPr>
          <w:rFonts w:ascii="Cambria" w:hAnsi="Cambria"/>
          <w:sz w:val="20"/>
          <w:szCs w:val="20"/>
        </w:rPr>
        <w:t xml:space="preserve">se recomienda descargar y estudiar el archivo en Excel titulado: </w:t>
      </w:r>
      <w:hyperlink r:id="rId6" w:history="1">
        <w:r w:rsidRPr="00FB60A2">
          <w:rPr>
            <w:rStyle w:val="Hipervnculo"/>
            <w:rFonts w:ascii="Cambria" w:hAnsi="Cambria"/>
            <w:sz w:val="20"/>
            <w:szCs w:val="20"/>
          </w:rPr>
          <w:t xml:space="preserve">“Cuadro temático </w:t>
        </w:r>
        <w:r w:rsidR="00FB60A2" w:rsidRPr="00FB60A2">
          <w:rPr>
            <w:rStyle w:val="Hipervnculo"/>
            <w:rFonts w:ascii="Cambria" w:hAnsi="Cambria"/>
            <w:sz w:val="20"/>
            <w:szCs w:val="20"/>
          </w:rPr>
          <w:t>con las normas que serían afectadas con el proyecto de reforma tributaria septiembre de 2025”</w:t>
        </w:r>
      </w:hyperlink>
    </w:p>
    <w:p w:rsidR="00FB60A2" w:rsidRPr="00CE4E61" w:rsidRDefault="00FB60A2" w:rsidP="00CC04F8">
      <w:pPr>
        <w:jc w:val="both"/>
        <w:rPr>
          <w:rFonts w:ascii="Cambria" w:hAnsi="Cambria"/>
          <w:sz w:val="20"/>
          <w:szCs w:val="20"/>
        </w:rPr>
      </w:pPr>
    </w:p>
    <w:p w:rsidR="00CC04F8" w:rsidRDefault="00CC04F8" w:rsidP="00CC04F8">
      <w:pPr>
        <w:jc w:val="both"/>
        <w:rPr>
          <w:rFonts w:ascii="Cambria" w:hAnsi="Cambria"/>
          <w:sz w:val="20"/>
          <w:szCs w:val="20"/>
        </w:rPr>
      </w:pPr>
      <w:r w:rsidRPr="00CE4E61">
        <w:rPr>
          <w:rFonts w:ascii="Cambria" w:hAnsi="Cambria"/>
          <w:sz w:val="20"/>
          <w:szCs w:val="20"/>
        </w:rPr>
        <w:t xml:space="preserve">Para las normas relacionadas con el Estatuto Tributario, las mismas se presentan en estricto orden ascendente según el número del artículo que </w:t>
      </w:r>
      <w:r w:rsidR="00FB60A2">
        <w:rPr>
          <w:rFonts w:ascii="Cambria" w:hAnsi="Cambria"/>
          <w:sz w:val="20"/>
          <w:szCs w:val="20"/>
        </w:rPr>
        <w:t>pretenda</w:t>
      </w:r>
      <w:r w:rsidRPr="00CE4E61">
        <w:rPr>
          <w:rFonts w:ascii="Cambria" w:hAnsi="Cambria"/>
          <w:sz w:val="20"/>
          <w:szCs w:val="20"/>
        </w:rPr>
        <w:t xml:space="preserve"> s</w:t>
      </w:r>
      <w:r w:rsidR="00FB60A2">
        <w:rPr>
          <w:rFonts w:ascii="Cambria" w:hAnsi="Cambria"/>
          <w:sz w:val="20"/>
          <w:szCs w:val="20"/>
        </w:rPr>
        <w:t>er</w:t>
      </w:r>
      <w:r w:rsidRPr="00CE4E61">
        <w:rPr>
          <w:rFonts w:ascii="Cambria" w:hAnsi="Cambria"/>
          <w:sz w:val="20"/>
          <w:szCs w:val="20"/>
        </w:rPr>
        <w:t xml:space="preserve"> modificado parcialmente, o derogado totalmente, o agregado como nuevo artículo. Lo mismo se hizo para las normas que no pertenecen al Estatuto Tributario y entre ellas lo que se hizo fue presentarlas por orden de antigüedad (primero las normas más antiguas que terminar</w:t>
      </w:r>
      <w:r w:rsidR="00FB60A2">
        <w:rPr>
          <w:rFonts w:ascii="Cambria" w:hAnsi="Cambria"/>
          <w:sz w:val="20"/>
          <w:szCs w:val="20"/>
        </w:rPr>
        <w:t xml:space="preserve">ían </w:t>
      </w:r>
      <w:r w:rsidRPr="00CE4E61">
        <w:rPr>
          <w:rFonts w:ascii="Cambria" w:hAnsi="Cambria"/>
          <w:sz w:val="20"/>
          <w:szCs w:val="20"/>
        </w:rPr>
        <w:t>siendo modificadas y luego las normas más recientes que también termin</w:t>
      </w:r>
      <w:r w:rsidR="00FB60A2">
        <w:rPr>
          <w:rFonts w:ascii="Cambria" w:hAnsi="Cambria"/>
          <w:sz w:val="20"/>
          <w:szCs w:val="20"/>
        </w:rPr>
        <w:t>arían</w:t>
      </w:r>
      <w:r w:rsidRPr="00CE4E61">
        <w:rPr>
          <w:rFonts w:ascii="Cambria" w:hAnsi="Cambria"/>
          <w:sz w:val="20"/>
          <w:szCs w:val="20"/>
        </w:rPr>
        <w:t xml:space="preserve"> siendo modificadas). </w:t>
      </w:r>
    </w:p>
    <w:p w:rsidR="00CC04F8" w:rsidRDefault="00CC04F8" w:rsidP="00CC04F8">
      <w:pPr>
        <w:jc w:val="both"/>
        <w:rPr>
          <w:rFonts w:ascii="Cambria" w:hAnsi="Cambria"/>
          <w:sz w:val="20"/>
          <w:szCs w:val="20"/>
        </w:rPr>
      </w:pPr>
    </w:p>
    <w:p w:rsidR="00CC04F8" w:rsidRDefault="00CC04F8" w:rsidP="00CC04F8">
      <w:pPr>
        <w:jc w:val="both"/>
        <w:rPr>
          <w:rFonts w:ascii="Cambria" w:hAnsi="Cambria"/>
          <w:sz w:val="20"/>
          <w:szCs w:val="20"/>
          <w:lang w:val="es-ES"/>
        </w:rPr>
      </w:pPr>
    </w:p>
    <w:p w:rsidR="00CC04F8" w:rsidRPr="00EE426E" w:rsidRDefault="00CC04F8" w:rsidP="00CC04F8">
      <w:pPr>
        <w:rPr>
          <w:rFonts w:ascii="Calibri" w:hAnsi="Calibri"/>
        </w:rPr>
      </w:pPr>
    </w:p>
    <w:p w:rsidR="00CC04F8" w:rsidRPr="00134265" w:rsidRDefault="00CC04F8" w:rsidP="00CC04F8">
      <w:pPr>
        <w:pStyle w:val="Prrafodelista"/>
        <w:numPr>
          <w:ilvl w:val="0"/>
          <w:numId w:val="1"/>
        </w:numPr>
        <w:rPr>
          <w:rFonts w:ascii="Calibri" w:hAnsi="Calibri"/>
          <w:color w:val="FF0000"/>
          <w:lang w:val="es-ES"/>
        </w:rPr>
      </w:pPr>
      <w:r w:rsidRPr="00134265">
        <w:rPr>
          <w:rFonts w:ascii="Calibri" w:hAnsi="Calibri"/>
          <w:color w:val="FF0000"/>
          <w:u w:val="single"/>
          <w:lang w:val="es-ES"/>
        </w:rPr>
        <w:t>Normas d</w:t>
      </w:r>
      <w:r w:rsidRPr="00134265">
        <w:rPr>
          <w:rFonts w:ascii="Calibri" w:hAnsi="Calibri"/>
          <w:b/>
          <w:color w:val="FF0000"/>
          <w:u w:val="single"/>
          <w:lang w:val="es-ES"/>
        </w:rPr>
        <w:t>el Estatuto Tributario Nacional</w:t>
      </w:r>
    </w:p>
    <w:p w:rsidR="0065720A" w:rsidRDefault="0065720A">
      <w:pPr>
        <w:rPr>
          <w:lang w:val="es-ES"/>
        </w:rPr>
      </w:pPr>
    </w:p>
    <w:p w:rsidR="0065720A" w:rsidRDefault="0065720A">
      <w:pPr>
        <w:rPr>
          <w:lang w:val="es-ES"/>
        </w:rPr>
      </w:pPr>
    </w:p>
    <w:tbl>
      <w:tblPr>
        <w:tblStyle w:val="Tablaconcuadrcula"/>
        <w:tblW w:w="9823" w:type="dxa"/>
        <w:tblLook w:val="04A0" w:firstRow="1" w:lastRow="0" w:firstColumn="1" w:lastColumn="0" w:noHBand="0" w:noVBand="1"/>
      </w:tblPr>
      <w:tblGrid>
        <w:gridCol w:w="4958"/>
        <w:gridCol w:w="4865"/>
      </w:tblGrid>
      <w:tr w:rsidR="0065720A" w:rsidTr="0059378C">
        <w:trPr>
          <w:tblHeader/>
        </w:trPr>
        <w:tc>
          <w:tcPr>
            <w:tcW w:w="4958" w:type="dxa"/>
          </w:tcPr>
          <w:p w:rsidR="0065720A" w:rsidRPr="003042D8" w:rsidRDefault="0065720A" w:rsidP="0065720A">
            <w:pPr>
              <w:jc w:val="center"/>
              <w:rPr>
                <w:rFonts w:ascii="Cambria" w:hAnsi="Cambria"/>
                <w:b/>
                <w:bCs/>
                <w:sz w:val="20"/>
                <w:szCs w:val="20"/>
              </w:rPr>
            </w:pPr>
            <w:r w:rsidRPr="003042D8">
              <w:rPr>
                <w:rFonts w:ascii="Cambria" w:hAnsi="Cambria"/>
                <w:b/>
                <w:bCs/>
                <w:sz w:val="20"/>
                <w:szCs w:val="20"/>
              </w:rPr>
              <w:t>Versión anterior de la norma</w:t>
            </w:r>
          </w:p>
        </w:tc>
        <w:tc>
          <w:tcPr>
            <w:tcW w:w="4865" w:type="dxa"/>
          </w:tcPr>
          <w:p w:rsidR="0065720A" w:rsidRPr="003042D8" w:rsidRDefault="0065720A" w:rsidP="0065720A">
            <w:pPr>
              <w:jc w:val="center"/>
              <w:rPr>
                <w:rFonts w:ascii="Cambria" w:hAnsi="Cambria"/>
                <w:b/>
                <w:bCs/>
                <w:sz w:val="20"/>
                <w:szCs w:val="20"/>
              </w:rPr>
            </w:pPr>
            <w:r w:rsidRPr="003042D8">
              <w:rPr>
                <w:rFonts w:ascii="Cambria" w:hAnsi="Cambria"/>
                <w:b/>
                <w:bCs/>
                <w:sz w:val="20"/>
                <w:szCs w:val="20"/>
              </w:rPr>
              <w:t>Nueva versión con que quedaría la norma</w:t>
            </w:r>
          </w:p>
        </w:tc>
      </w:tr>
      <w:tr w:rsidR="0065720A" w:rsidTr="0059378C">
        <w:tc>
          <w:tcPr>
            <w:tcW w:w="4958" w:type="dxa"/>
          </w:tcPr>
          <w:p w:rsidR="00CC04F8" w:rsidRPr="003042D8" w:rsidRDefault="008C1FE6" w:rsidP="008C1FE6">
            <w:pPr>
              <w:jc w:val="both"/>
              <w:rPr>
                <w:rFonts w:ascii="Cambria" w:hAnsi="Cambria"/>
                <w:sz w:val="20"/>
                <w:szCs w:val="20"/>
              </w:rPr>
            </w:pPr>
            <w:bookmarkStart w:id="0" w:name="12"/>
            <w:r w:rsidRPr="003042D8">
              <w:rPr>
                <w:rFonts w:ascii="Cambria" w:hAnsi="Cambria"/>
                <w:b/>
                <w:bCs/>
                <w:color w:val="000000" w:themeColor="text1"/>
                <w:sz w:val="20"/>
                <w:szCs w:val="20"/>
              </w:rPr>
              <w:t>Articulo 12. Sociedades y entidades sometidas al impuesto</w:t>
            </w:r>
            <w:r w:rsidR="00CC04F8" w:rsidRPr="003042D8">
              <w:rPr>
                <w:rFonts w:ascii="Cambria" w:hAnsi="Cambria"/>
                <w:color w:val="000000" w:themeColor="text1"/>
                <w:sz w:val="20"/>
                <w:szCs w:val="20"/>
              </w:rPr>
              <w:t>.</w:t>
            </w:r>
            <w:bookmarkEnd w:id="0"/>
            <w:r w:rsidR="00CC04F8" w:rsidRPr="003042D8">
              <w:rPr>
                <w:rFonts w:ascii="Cambria" w:hAnsi="Cambria"/>
                <w:color w:val="000000" w:themeColor="text1"/>
                <w:sz w:val="20"/>
                <w:szCs w:val="20"/>
              </w:rPr>
              <w:t xml:space="preserve">  Las sociedades y entidades nacionales son gravadas, tanto </w:t>
            </w:r>
            <w:r w:rsidR="00CC04F8" w:rsidRPr="003042D8">
              <w:rPr>
                <w:rFonts w:ascii="Cambria" w:hAnsi="Cambria"/>
                <w:sz w:val="20"/>
                <w:szCs w:val="20"/>
              </w:rPr>
              <w:t>sobre sus rentas y ganancias ocasionales de fuente nacional como sobre las que se originen de fuentes fuera de Colombia.</w:t>
            </w:r>
          </w:p>
          <w:p w:rsidR="000C15E2" w:rsidRPr="003042D8" w:rsidRDefault="000C15E2" w:rsidP="008C1FE6">
            <w:pPr>
              <w:jc w:val="both"/>
              <w:rPr>
                <w:rFonts w:ascii="Cambria" w:hAnsi="Cambria"/>
                <w:sz w:val="20"/>
                <w:szCs w:val="20"/>
              </w:rPr>
            </w:pPr>
          </w:p>
          <w:p w:rsidR="00CC04F8" w:rsidRPr="003042D8" w:rsidRDefault="00CC04F8" w:rsidP="008C1FE6">
            <w:pPr>
              <w:jc w:val="both"/>
              <w:rPr>
                <w:rFonts w:ascii="Cambria" w:hAnsi="Cambria"/>
                <w:sz w:val="20"/>
                <w:szCs w:val="20"/>
              </w:rPr>
            </w:pPr>
            <w:r w:rsidRPr="003042D8">
              <w:rPr>
                <w:rFonts w:ascii="Cambria" w:hAnsi="Cambria"/>
                <w:sz w:val="20"/>
                <w:szCs w:val="20"/>
              </w:rPr>
              <w:t>Las sociedades y entidades extranjeras son gravadas únicamente sobre sus rentas y ganancias ocasionales de fuente nacional.</w:t>
            </w:r>
          </w:p>
          <w:p w:rsidR="000C15E2" w:rsidRPr="003042D8" w:rsidRDefault="000C15E2" w:rsidP="008C1FE6">
            <w:pPr>
              <w:jc w:val="both"/>
              <w:rPr>
                <w:rFonts w:ascii="Cambria" w:hAnsi="Cambria"/>
                <w:sz w:val="20"/>
                <w:szCs w:val="20"/>
              </w:rPr>
            </w:pPr>
          </w:p>
          <w:p w:rsidR="0065720A" w:rsidRPr="003042D8" w:rsidRDefault="008C1FE6" w:rsidP="008C1FE6">
            <w:pPr>
              <w:jc w:val="both"/>
              <w:rPr>
                <w:rFonts w:ascii="Cambria" w:hAnsi="Cambria"/>
                <w:b/>
                <w:bCs/>
                <w:sz w:val="20"/>
                <w:szCs w:val="20"/>
              </w:rPr>
            </w:pPr>
            <w:r w:rsidRPr="003042D8">
              <w:rPr>
                <w:rFonts w:ascii="Cambria" w:hAnsi="Cambria"/>
                <w:sz w:val="20"/>
                <w:szCs w:val="20"/>
                <w:shd w:val="clear" w:color="auto" w:fill="FFFFFF"/>
              </w:rPr>
              <w:lastRenderedPageBreak/>
              <w:t>Adicionalmente, los contribuyentes a que se refiere este artículo son sujetos pasivos del impuesto de remesas, conforme a lo establecido en el Título IV de este Libro.</w:t>
            </w:r>
          </w:p>
        </w:tc>
        <w:tc>
          <w:tcPr>
            <w:tcW w:w="4865" w:type="dxa"/>
          </w:tcPr>
          <w:p w:rsidR="008C1FE6" w:rsidRPr="003042D8" w:rsidRDefault="008C1FE6" w:rsidP="008C1FE6">
            <w:pPr>
              <w:jc w:val="both"/>
              <w:rPr>
                <w:rFonts w:ascii="Cambria" w:hAnsi="Cambria"/>
                <w:sz w:val="20"/>
                <w:szCs w:val="20"/>
              </w:rPr>
            </w:pPr>
            <w:r w:rsidRPr="003042D8">
              <w:rPr>
                <w:rFonts w:ascii="Cambria" w:hAnsi="Cambria"/>
                <w:b/>
                <w:bCs/>
                <w:color w:val="000000" w:themeColor="text1"/>
                <w:sz w:val="20"/>
                <w:szCs w:val="20"/>
              </w:rPr>
              <w:lastRenderedPageBreak/>
              <w:t>Articulo 12. Sociedades y entidades sometidas al impuesto.</w:t>
            </w:r>
            <w:r w:rsidRPr="003042D8">
              <w:rPr>
                <w:rFonts w:ascii="Cambria" w:hAnsi="Cambria"/>
                <w:color w:val="000000" w:themeColor="text1"/>
                <w:sz w:val="20"/>
                <w:szCs w:val="20"/>
              </w:rPr>
              <w:t> </w:t>
            </w:r>
            <w:r w:rsidR="00CE7327" w:rsidRPr="003042D8">
              <w:rPr>
                <w:rFonts w:ascii="Cambria" w:hAnsi="Cambria"/>
                <w:color w:val="FF0000"/>
                <w:sz w:val="20"/>
                <w:szCs w:val="20"/>
              </w:rPr>
              <w:t xml:space="preserve">(modificado con artículo 77 </w:t>
            </w:r>
            <w:r w:rsidR="00FB60A2">
              <w:rPr>
                <w:rFonts w:ascii="Cambria" w:hAnsi="Cambria"/>
                <w:color w:val="FF0000"/>
                <w:sz w:val="20"/>
                <w:szCs w:val="20"/>
              </w:rPr>
              <w:t>del proyecto de Ley de septiembre de 2025</w:t>
            </w:r>
            <w:r w:rsidR="00CE7327" w:rsidRPr="003042D8">
              <w:rPr>
                <w:rFonts w:ascii="Cambria" w:hAnsi="Cambria"/>
                <w:sz w:val="20"/>
                <w:szCs w:val="20"/>
              </w:rPr>
              <w:t xml:space="preserve">) </w:t>
            </w:r>
            <w:r w:rsidRPr="003042D8">
              <w:rPr>
                <w:rFonts w:ascii="Cambria" w:hAnsi="Cambria"/>
                <w:sz w:val="20"/>
                <w:szCs w:val="20"/>
              </w:rPr>
              <w:t>Las sociedades y entidades nacionales son gravadas, tanto sobre sus rentas y ganancias ocasionales de fuente nacional como sobre las que se originen de fuentes fuera de Colombia.</w:t>
            </w:r>
          </w:p>
          <w:p w:rsidR="000C15E2" w:rsidRPr="003042D8" w:rsidRDefault="000C15E2" w:rsidP="008C1FE6">
            <w:pPr>
              <w:jc w:val="both"/>
              <w:rPr>
                <w:rFonts w:ascii="Cambria" w:hAnsi="Cambria"/>
                <w:sz w:val="20"/>
                <w:szCs w:val="20"/>
              </w:rPr>
            </w:pPr>
          </w:p>
          <w:p w:rsidR="008C1FE6" w:rsidRPr="003042D8" w:rsidRDefault="008C1FE6" w:rsidP="008C1FE6">
            <w:pPr>
              <w:jc w:val="both"/>
              <w:rPr>
                <w:rFonts w:ascii="Cambria" w:hAnsi="Cambria"/>
                <w:sz w:val="20"/>
                <w:szCs w:val="20"/>
              </w:rPr>
            </w:pPr>
            <w:r w:rsidRPr="003042D8">
              <w:rPr>
                <w:rFonts w:ascii="Cambria" w:hAnsi="Cambria"/>
                <w:sz w:val="20"/>
                <w:szCs w:val="20"/>
              </w:rPr>
              <w:t>Las sociedades y entidades extranjeras son gravadas únicamente sobre sus rentas y ganancias ocasionales de fuente nacional.</w:t>
            </w:r>
          </w:p>
          <w:p w:rsidR="000C15E2" w:rsidRPr="003042D8" w:rsidRDefault="000C15E2" w:rsidP="008C1FE6">
            <w:pPr>
              <w:jc w:val="both"/>
              <w:rPr>
                <w:rFonts w:ascii="Cambria" w:hAnsi="Cambria"/>
                <w:sz w:val="20"/>
                <w:szCs w:val="20"/>
              </w:rPr>
            </w:pPr>
          </w:p>
          <w:p w:rsidR="0065720A" w:rsidRPr="003042D8" w:rsidRDefault="008C1FE6" w:rsidP="008C1FE6">
            <w:pPr>
              <w:jc w:val="both"/>
              <w:rPr>
                <w:rFonts w:ascii="Cambria" w:hAnsi="Cambria"/>
                <w:sz w:val="20"/>
                <w:szCs w:val="20"/>
                <w:shd w:val="clear" w:color="auto" w:fill="FFFFFF"/>
              </w:rPr>
            </w:pPr>
            <w:r w:rsidRPr="003042D8">
              <w:rPr>
                <w:rFonts w:ascii="Cambria" w:hAnsi="Cambria"/>
                <w:sz w:val="20"/>
                <w:szCs w:val="20"/>
                <w:shd w:val="clear" w:color="auto" w:fill="FFFFFF"/>
              </w:rPr>
              <w:lastRenderedPageBreak/>
              <w:t>Adicionalmente, los contribuyentes a que se refiere este artículo son sujetos pasivos del impuesto de remesas, conforme a lo establecido en el Título IV de este Libro.</w:t>
            </w:r>
          </w:p>
          <w:p w:rsidR="008C1FE6" w:rsidRPr="003042D8" w:rsidRDefault="008C1FE6" w:rsidP="008C1FE6">
            <w:pPr>
              <w:jc w:val="both"/>
              <w:rPr>
                <w:rFonts w:ascii="Cambria" w:hAnsi="Cambria"/>
                <w:b/>
                <w:bCs/>
                <w:sz w:val="20"/>
                <w:szCs w:val="20"/>
                <w:shd w:val="clear" w:color="auto" w:fill="FFFFFF"/>
              </w:rPr>
            </w:pPr>
          </w:p>
          <w:p w:rsidR="008C1FE6" w:rsidRPr="003042D8" w:rsidRDefault="008C1FE6" w:rsidP="008C1FE6">
            <w:pPr>
              <w:jc w:val="both"/>
              <w:rPr>
                <w:sz w:val="20"/>
                <w:szCs w:val="20"/>
              </w:rPr>
            </w:pPr>
            <w:r w:rsidRPr="003042D8">
              <w:rPr>
                <w:rFonts w:ascii="Cambria" w:hAnsi="Cambria"/>
                <w:sz w:val="20"/>
                <w:szCs w:val="20"/>
                <w:highlight w:val="yellow"/>
                <w:shd w:val="clear" w:color="auto" w:fill="FFFFFF"/>
              </w:rPr>
              <w:t>Parágrafo. Todos los contribuyentes que a través de las sedes efectivas de administración realicen cualquier estructuración de negocios o reestructuraciones empresariales, deberán reportarlo a la DIAN y en los estados financieros. En caso de no realizarlo, se tratará como una estructura abusiva y se aplicará lo previsto en el artículo 869 del estatuto tributario.</w:t>
            </w:r>
            <w:r w:rsidRPr="003042D8">
              <w:rPr>
                <w:sz w:val="20"/>
                <w:szCs w:val="20"/>
              </w:rPr>
              <w:t xml:space="preserve"> </w:t>
            </w:r>
          </w:p>
          <w:p w:rsidR="000C15E2" w:rsidRPr="003042D8" w:rsidRDefault="000C15E2" w:rsidP="008C1FE6">
            <w:pPr>
              <w:jc w:val="both"/>
              <w:rPr>
                <w:rFonts w:ascii="Cambria" w:hAnsi="Cambria"/>
                <w:b/>
                <w:bCs/>
                <w:sz w:val="20"/>
                <w:szCs w:val="20"/>
              </w:rPr>
            </w:pPr>
          </w:p>
        </w:tc>
      </w:tr>
      <w:tr w:rsidR="000C15E2" w:rsidTr="0059378C">
        <w:tc>
          <w:tcPr>
            <w:tcW w:w="4958" w:type="dxa"/>
          </w:tcPr>
          <w:p w:rsidR="000C15E2" w:rsidRPr="003042D8" w:rsidRDefault="003042D8" w:rsidP="000C15E2">
            <w:pPr>
              <w:jc w:val="both"/>
              <w:rPr>
                <w:rFonts w:ascii="Cambria" w:hAnsi="Cambria"/>
                <w:sz w:val="20"/>
                <w:szCs w:val="20"/>
              </w:rPr>
            </w:pPr>
            <w:bookmarkStart w:id="1" w:name="20-2"/>
            <w:r w:rsidRPr="003042D8">
              <w:rPr>
                <w:rFonts w:ascii="Cambria" w:hAnsi="Cambria"/>
                <w:b/>
                <w:bCs/>
                <w:color w:val="000000" w:themeColor="text1"/>
                <w:sz w:val="20"/>
                <w:szCs w:val="20"/>
              </w:rPr>
              <w:lastRenderedPageBreak/>
              <w:t>Artículo 20-2. Tributación de los establecimientos permanentes y sucursales.</w:t>
            </w:r>
            <w:bookmarkEnd w:id="1"/>
            <w:r w:rsidR="000C15E2" w:rsidRPr="003042D8">
              <w:rPr>
                <w:rFonts w:ascii="Cambria" w:hAnsi="Cambria"/>
                <w:color w:val="000000" w:themeColor="text1"/>
                <w:sz w:val="20"/>
                <w:szCs w:val="20"/>
              </w:rPr>
              <w:t> </w:t>
            </w:r>
            <w:r w:rsidR="000C15E2" w:rsidRPr="003042D8">
              <w:rPr>
                <w:rFonts w:ascii="Cambria" w:hAnsi="Cambria"/>
                <w:sz w:val="20"/>
                <w:szCs w:val="20"/>
              </w:rPr>
              <w:t>&lt;Artículo adicionado por el artículo </w:t>
            </w:r>
            <w:hyperlink r:id="rId7" w:anchor="87" w:history="1">
              <w:r w:rsidR="000C15E2" w:rsidRPr="003042D8">
                <w:rPr>
                  <w:rStyle w:val="Hipervnculo"/>
                  <w:rFonts w:ascii="Cambria" w:hAnsi="Cambria"/>
                  <w:color w:val="00A9E0"/>
                  <w:spacing w:val="2"/>
                  <w:sz w:val="20"/>
                  <w:szCs w:val="20"/>
                </w:rPr>
                <w:t>87</w:t>
              </w:r>
            </w:hyperlink>
            <w:r w:rsidR="000C15E2" w:rsidRPr="003042D8">
              <w:rPr>
                <w:rFonts w:ascii="Cambria" w:hAnsi="Cambria"/>
                <w:sz w:val="20"/>
                <w:szCs w:val="20"/>
              </w:rPr>
              <w:t> de la Ley 1607 de 2012. El nuevo texto es el siguiente:&gt; Las personas naturales no residentes y las personas jurídicas y entidades extranjeras que tengan un establecimiento permanente o una sucursal en el país, según el caso, serán contribuyentes del impuesto sobre la renta y complementarios con respecto a las rentas y ganancias ocasionales de fuente nacional que le sean atribuibles al establecimiento permanente o a la sucursal, según el caso, de acuerdo con lo consagrado en este artículo y con las disposiciones que lo reglamenten. La determinación de dichas rentas y ganancias ocasionales se realizará con base en criterios de funciones, activos, riesgos y personal involucrados en la obtención de las mencionadas rentas y ganancias ocasionales.</w:t>
            </w:r>
          </w:p>
          <w:p w:rsidR="000C15E2" w:rsidRDefault="000C15E2" w:rsidP="000C15E2">
            <w:pPr>
              <w:jc w:val="both"/>
              <w:rPr>
                <w:rStyle w:val="baj"/>
                <w:rFonts w:ascii="Cambria" w:hAnsi="Cambria"/>
                <w:b/>
                <w:bCs/>
                <w:color w:val="343536"/>
                <w:spacing w:val="2"/>
                <w:sz w:val="20"/>
                <w:szCs w:val="20"/>
              </w:rPr>
            </w:pPr>
          </w:p>
          <w:p w:rsidR="008B560A" w:rsidRPr="003042D8" w:rsidRDefault="008B560A" w:rsidP="000C15E2">
            <w:pPr>
              <w:jc w:val="both"/>
              <w:rPr>
                <w:rStyle w:val="baj"/>
                <w:rFonts w:ascii="Cambria" w:hAnsi="Cambria"/>
                <w:b/>
                <w:bCs/>
                <w:color w:val="343536"/>
                <w:spacing w:val="2"/>
                <w:sz w:val="20"/>
                <w:szCs w:val="20"/>
              </w:rPr>
            </w:pPr>
          </w:p>
          <w:p w:rsidR="000C15E2" w:rsidRPr="003042D8" w:rsidRDefault="000C15E2" w:rsidP="000C15E2">
            <w:pPr>
              <w:jc w:val="both"/>
              <w:rPr>
                <w:rFonts w:ascii="Cambria" w:hAnsi="Cambria"/>
                <w:sz w:val="20"/>
                <w:szCs w:val="20"/>
              </w:rPr>
            </w:pPr>
            <w:r w:rsidRPr="003042D8">
              <w:rPr>
                <w:rStyle w:val="baj"/>
                <w:rFonts w:ascii="Cambria" w:hAnsi="Cambria"/>
                <w:b/>
                <w:bCs/>
                <w:color w:val="343536"/>
                <w:spacing w:val="2"/>
                <w:sz w:val="20"/>
                <w:szCs w:val="20"/>
              </w:rPr>
              <w:t>PARÁGRAFO.</w:t>
            </w:r>
            <w:r w:rsidRPr="003042D8">
              <w:rPr>
                <w:rFonts w:ascii="Cambria" w:hAnsi="Cambria"/>
                <w:sz w:val="20"/>
                <w:szCs w:val="20"/>
              </w:rPr>
              <w:t> Para propósitos de la atribución de las rentas y ganancias ocasionales a que se refiere este artículo, los establecimientos permanentes y las sucursales de sociedades extranjeras deberán llevar contabilidad separada en la que se discriminen claramente los ingresos, costos y gastos que les sean atribuibles. Sin perjuicio del cumplimiento por parte de los obligados al régimen de precios de transferencia de los deberes formales relativos a la declaración informativa y a la documentación comprobatoria, para efectos de lo establecido en este artículo, la contabilidad de los establecimientos permanentes y de las sucursales de sociedades extranjeras deberá estar soportada en un estudio sobre las funciones, activos, riesgos y personal involucrados en la obtención de las rentas y de las ganancias ocasionales atribuidas a ellos.</w:t>
            </w:r>
          </w:p>
          <w:p w:rsidR="000C15E2" w:rsidRPr="003042D8" w:rsidRDefault="000C15E2" w:rsidP="000C15E2">
            <w:pPr>
              <w:jc w:val="both"/>
              <w:rPr>
                <w:rFonts w:ascii="Cambria" w:hAnsi="Cambria"/>
                <w:b/>
                <w:bCs/>
                <w:sz w:val="20"/>
                <w:szCs w:val="20"/>
              </w:rPr>
            </w:pPr>
          </w:p>
        </w:tc>
        <w:tc>
          <w:tcPr>
            <w:tcW w:w="4865" w:type="dxa"/>
          </w:tcPr>
          <w:p w:rsidR="000C15E2" w:rsidRPr="003042D8" w:rsidRDefault="003042D8" w:rsidP="000C15E2">
            <w:pPr>
              <w:jc w:val="both"/>
              <w:rPr>
                <w:rFonts w:ascii="Cambria" w:hAnsi="Cambria"/>
                <w:sz w:val="20"/>
                <w:szCs w:val="20"/>
              </w:rPr>
            </w:pPr>
            <w:r w:rsidRPr="003042D8">
              <w:rPr>
                <w:rFonts w:ascii="Cambria" w:hAnsi="Cambria"/>
                <w:b/>
                <w:bCs/>
                <w:color w:val="000000" w:themeColor="text1"/>
                <w:sz w:val="20"/>
                <w:szCs w:val="20"/>
              </w:rPr>
              <w:t>Artículo 20-2. Tributación de los establecimientos permanentes y sucursales.</w:t>
            </w:r>
            <w:r w:rsidR="000C15E2" w:rsidRPr="003042D8">
              <w:rPr>
                <w:rFonts w:ascii="Cambria" w:hAnsi="Cambria"/>
                <w:color w:val="000000" w:themeColor="text1"/>
                <w:sz w:val="20"/>
                <w:szCs w:val="20"/>
              </w:rPr>
              <w:t> </w:t>
            </w:r>
            <w:r w:rsidR="000C15E2" w:rsidRPr="003042D8">
              <w:rPr>
                <w:rFonts w:ascii="Cambria" w:hAnsi="Cambria"/>
                <w:color w:val="FF0000"/>
                <w:sz w:val="20"/>
                <w:szCs w:val="20"/>
              </w:rPr>
              <w:t xml:space="preserve">(modificado con artículo 55 </w:t>
            </w:r>
            <w:r w:rsidR="00FB60A2">
              <w:rPr>
                <w:rFonts w:ascii="Cambria" w:hAnsi="Cambria"/>
                <w:color w:val="FF0000"/>
                <w:sz w:val="20"/>
                <w:szCs w:val="20"/>
              </w:rPr>
              <w:t>del proyecto de Ley de septiembre de 2025</w:t>
            </w:r>
            <w:r w:rsidR="000C15E2" w:rsidRPr="003042D8">
              <w:rPr>
                <w:rFonts w:ascii="Cambria" w:hAnsi="Cambria"/>
                <w:sz w:val="20"/>
                <w:szCs w:val="20"/>
              </w:rPr>
              <w:t>)  Las personas naturales no residentes y las personas jurídicas y entidades extranjeras que tengan un establecimiento permanente o una sucursal en el país, según el caso, serán contribuyentes del impuesto sobre la renta y complementarios con respecto a las rentas y ganancias ocasionales de fuente nacional que le sean atribuibles al establecimiento permanente o a la sucursal, según el caso, de acuerdo con lo consagrado en este artículo y con las disposiciones que lo reglamenten. La determinación de dichas rentas y ganancias ocasionales se realizará con base en criterios de funciones, activos, riesgos y personal involucrados en la obtención de las mencionadas rentas y ganancias ocasionales.</w:t>
            </w:r>
          </w:p>
          <w:p w:rsidR="000C15E2" w:rsidRPr="003042D8" w:rsidRDefault="000C15E2" w:rsidP="000C15E2">
            <w:pPr>
              <w:jc w:val="both"/>
              <w:rPr>
                <w:rStyle w:val="baj"/>
                <w:rFonts w:ascii="Cambria" w:hAnsi="Cambria"/>
                <w:b/>
                <w:bCs/>
                <w:color w:val="343536"/>
                <w:spacing w:val="2"/>
                <w:sz w:val="20"/>
                <w:szCs w:val="20"/>
              </w:rPr>
            </w:pPr>
          </w:p>
          <w:p w:rsidR="00DE752B" w:rsidRPr="003042D8" w:rsidRDefault="00DE752B" w:rsidP="000C15E2">
            <w:pPr>
              <w:jc w:val="both"/>
              <w:rPr>
                <w:rStyle w:val="baj"/>
                <w:rFonts w:ascii="Cambria" w:hAnsi="Cambria"/>
                <w:b/>
                <w:bCs/>
                <w:color w:val="343536"/>
                <w:spacing w:val="2"/>
                <w:sz w:val="20"/>
                <w:szCs w:val="20"/>
              </w:rPr>
            </w:pPr>
          </w:p>
          <w:p w:rsidR="000C15E2" w:rsidRPr="003042D8" w:rsidRDefault="000C15E2" w:rsidP="000C15E2">
            <w:pPr>
              <w:jc w:val="both"/>
              <w:rPr>
                <w:rFonts w:ascii="Cambria" w:hAnsi="Cambria"/>
                <w:sz w:val="20"/>
                <w:szCs w:val="20"/>
              </w:rPr>
            </w:pPr>
            <w:r w:rsidRPr="003042D8">
              <w:rPr>
                <w:rStyle w:val="baj"/>
                <w:rFonts w:ascii="Cambria" w:hAnsi="Cambria"/>
                <w:b/>
                <w:bCs/>
                <w:color w:val="343536"/>
                <w:spacing w:val="2"/>
                <w:sz w:val="20"/>
                <w:szCs w:val="20"/>
              </w:rPr>
              <w:t>PARÁGRAFO.</w:t>
            </w:r>
            <w:r w:rsidRPr="003042D8">
              <w:rPr>
                <w:rFonts w:ascii="Cambria" w:hAnsi="Cambria"/>
                <w:sz w:val="20"/>
                <w:szCs w:val="20"/>
              </w:rPr>
              <w:t> Para propósitos de la atribución de las rentas y ganancias ocasionales a que se refiere este artículo, los establecimientos permanentes y las sucursales de sociedades extranjeras deberán llevar contabilidad separada en la que se discriminen claramente los ingresos, costos y gastos que les sean atribuibles. Sin perjuicio del cumplimiento por parte de los obligados al régimen de precios de transferencia de los deberes formales relativos a la declaración informativa y a la documentación comprobatoria, para efectos de lo establecido en este artículo, la contabilidad de los establecimientos permanentes y de las sucursales de sociedades extranjeras deberá estar soportada en un estudio sobre las funciones, activos, riesgos y personal involucrados en la obtención de las rentas y de las ganancias ocasionales atribuidas a ellos.</w:t>
            </w:r>
          </w:p>
          <w:p w:rsidR="000C15E2" w:rsidRPr="003042D8" w:rsidRDefault="000C15E2" w:rsidP="000C15E2">
            <w:pPr>
              <w:jc w:val="both"/>
              <w:rPr>
                <w:rFonts w:ascii="Cambria" w:hAnsi="Cambria"/>
                <w:b/>
                <w:bCs/>
                <w:sz w:val="20"/>
                <w:szCs w:val="20"/>
              </w:rPr>
            </w:pPr>
          </w:p>
          <w:p w:rsidR="000C15E2" w:rsidRPr="003042D8" w:rsidRDefault="000C15E2" w:rsidP="000C15E2">
            <w:pPr>
              <w:pStyle w:val="Default"/>
              <w:jc w:val="both"/>
              <w:rPr>
                <w:rFonts w:ascii="Cambria" w:hAnsi="Cambria"/>
                <w:color w:val="auto"/>
                <w:sz w:val="20"/>
                <w:szCs w:val="20"/>
              </w:rPr>
            </w:pPr>
            <w:r w:rsidRPr="003042D8">
              <w:rPr>
                <w:rFonts w:ascii="Cambria" w:hAnsi="Cambria" w:cstheme="minorBidi"/>
                <w:color w:val="auto"/>
                <w:kern w:val="2"/>
                <w:sz w:val="20"/>
                <w:szCs w:val="20"/>
                <w:highlight w:val="yellow"/>
                <w:lang w:val="es-CO"/>
              </w:rPr>
              <w:t xml:space="preserve">Parágrafo 2. En la determinación del impuesto sobre la renta y complementarios, los establecimientos permanentes observarán las reglas, formales y sustanciales </w:t>
            </w:r>
            <w:r w:rsidRPr="003042D8">
              <w:rPr>
                <w:rFonts w:ascii="Cambria" w:hAnsi="Cambria"/>
                <w:color w:val="auto"/>
                <w:sz w:val="20"/>
                <w:szCs w:val="20"/>
                <w:highlight w:val="yellow"/>
              </w:rPr>
              <w:t xml:space="preserve">previstas para los contribuyentes residentes fiscales o sociedades nacionales, </w:t>
            </w:r>
            <w:r w:rsidRPr="003042D8">
              <w:rPr>
                <w:rFonts w:ascii="Cambria" w:hAnsi="Cambria"/>
                <w:color w:val="auto"/>
                <w:sz w:val="20"/>
                <w:szCs w:val="20"/>
                <w:highlight w:val="yellow"/>
              </w:rPr>
              <w:lastRenderedPageBreak/>
              <w:t>considerando que tributan sobre rentas de fuente nacional y extranjera.</w:t>
            </w:r>
          </w:p>
          <w:p w:rsidR="00DE752B" w:rsidRPr="003042D8" w:rsidRDefault="00DE752B" w:rsidP="000C15E2">
            <w:pPr>
              <w:pStyle w:val="Default"/>
              <w:jc w:val="both"/>
              <w:rPr>
                <w:rFonts w:ascii="Cambria" w:hAnsi="Cambria"/>
                <w:b/>
                <w:bCs/>
                <w:sz w:val="20"/>
                <w:szCs w:val="20"/>
              </w:rPr>
            </w:pPr>
          </w:p>
        </w:tc>
      </w:tr>
      <w:tr w:rsidR="00DE752B" w:rsidTr="0059378C">
        <w:tc>
          <w:tcPr>
            <w:tcW w:w="4958" w:type="dxa"/>
          </w:tcPr>
          <w:p w:rsidR="00DE752B" w:rsidRPr="003042D8" w:rsidRDefault="00DE752B" w:rsidP="00DE752B">
            <w:pPr>
              <w:jc w:val="both"/>
              <w:rPr>
                <w:rFonts w:ascii="Cambria" w:hAnsi="Cambria"/>
                <w:sz w:val="20"/>
                <w:szCs w:val="20"/>
              </w:rPr>
            </w:pPr>
            <w:r w:rsidRPr="003042D8">
              <w:rPr>
                <w:rFonts w:ascii="Cambria" w:hAnsi="Cambria"/>
                <w:b/>
                <w:sz w:val="20"/>
                <w:szCs w:val="20"/>
              </w:rPr>
              <w:lastRenderedPageBreak/>
              <w:t>ARTÍCULO 20-3. Tributación por presencia económica significativa en Colombia.</w:t>
            </w:r>
            <w:r w:rsidRPr="003042D8">
              <w:rPr>
                <w:rFonts w:ascii="Cambria" w:hAnsi="Cambria"/>
                <w:sz w:val="20"/>
                <w:szCs w:val="20"/>
              </w:rPr>
              <w:t xml:space="preserve">  Se encuentran sometidos al impuesto sobre la renta y complementarios las personas no residentes o entidades no domiciliadas en el país con presencia económica significativa en Colombia sobre los ingresos provenientes de la venta de bienes y/o prestación de servicios a favor de clientes y/o usuarios ubicados en el territorio nacional. La sujeción al impuesto sobre la renta aquí contemplada estará condicionada a las siguientes reglas: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1. Para la comercialización de bienes y/o servicios, se entenderá que una persona no residente o entidad no domiciliada tendrá una presencia económica significativa en Colombia cuando: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1.1 Se mantenga interacción (es) deliberada (s) y sistemática (s) en el mercado colombiano, esto es, con cliente(s) y/o usuario(s) ubicado(s) en el territorio nacional; y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sz w:val="20"/>
                <w:szCs w:val="20"/>
              </w:rPr>
            </w:pPr>
            <w:r w:rsidRPr="003042D8">
              <w:rPr>
                <w:rFonts w:ascii="Cambria" w:hAnsi="Cambria" w:cs="Arial"/>
                <w:sz w:val="20"/>
                <w:szCs w:val="20"/>
              </w:rPr>
              <w:t>1.2 Durante el año gravable anterior o en el año gravable en curso, hubiere obtenido </w:t>
            </w:r>
            <w:r w:rsidRPr="003042D8">
              <w:rPr>
                <w:rFonts w:ascii="Cambria" w:hAnsi="Cambria"/>
                <w:sz w:val="20"/>
                <w:szCs w:val="20"/>
              </w:rPr>
              <w:t>u obtenga ingresos brutos de treinta y un mil trescientas (31.300) UVT o más por transacciones que involucren venta de bienes con cliente(s) y/o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2. Para la prestación de servicios digitales desde el exterior se encuentran sujetos al impuesto sobre la renta, siendo necesario  cumplir los numerales anteriores, las personas que presten cualquiera de los siguientes: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2.1 Los servicios de publicidad online.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2.2 Los servicios de contenidos digitales, sean online o descargables, incluyendo las aplicaciones móviles, libros electrónicos, música y películas.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2.3 Los servicios de transmisión libre, incluyendo programas de televisión, películas, “</w:t>
            </w:r>
            <w:proofErr w:type="spellStart"/>
            <w:r w:rsidRPr="003042D8">
              <w:rPr>
                <w:rFonts w:ascii="Cambria" w:hAnsi="Cambria" w:cs="Arial"/>
                <w:sz w:val="20"/>
                <w:szCs w:val="20"/>
              </w:rPr>
              <w:t>streaming</w:t>
            </w:r>
            <w:proofErr w:type="spellEnd"/>
            <w:r w:rsidRPr="003042D8">
              <w:rPr>
                <w:rFonts w:ascii="Cambria" w:hAnsi="Cambria" w:cs="Arial"/>
                <w:sz w:val="20"/>
                <w:szCs w:val="20"/>
              </w:rPr>
              <w:t>”, música, transmisión multimedia -“podcasts” y cualquier forma de contenido digital.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2.4 Cualquier forma de monetización de información y/o datos de usuarios ubicados en el territorio nacional y que han sido generados por la actividad de dichos usuarios en mercados digitales.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2.5 Los servicios online de plataformas de intermediación.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2.6 Las suscripciones digitales a medios audiovisuales incluyendo, entre otras, noticias, magacines, periódicos, música, video, juegos de cualquier tipo.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2.7 La gerencia, administración o manejo de datos electrónicos incluyendo el almacenamiento web, almacenamiento de datos en línea, servicios de intercambio de archivos o de almacenamiento en la nube.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2.8 Los servicios o el licenciamiento de motores de búsqueda online, estandarizados o automatizados, incluyendo “software” personalizado.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2.9 El suministro de derecho de uso o explotación de intangibles.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2.10 Otros servicios electrónicos o digitales con destino a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2.11 Cualquier otro servicio prestado a través de un mercado digital con destino a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1. Para efectos del numeral 1.1. del presente artículo se presume que existe una (s) interacción (es) deliberada (s) y sistemática (s) en el mercado colombiano, esto es, con cliente(s) y/o usuario(s) ubicado(s) en el territorio nacional cuando: </w:t>
            </w:r>
          </w:p>
          <w:p w:rsidR="00DE752B" w:rsidRDefault="00DE752B" w:rsidP="00DE752B">
            <w:pPr>
              <w:rPr>
                <w:rFonts w:ascii="Arial" w:hAnsi="Arial" w:cs="Arial"/>
                <w:sz w:val="20"/>
                <w:szCs w:val="20"/>
              </w:rPr>
            </w:pPr>
          </w:p>
          <w:p w:rsidR="008B560A" w:rsidRPr="003042D8" w:rsidRDefault="008B560A" w:rsidP="00DE752B">
            <w:pPr>
              <w:rPr>
                <w:rFonts w:ascii="Arial" w:hAnsi="Arial" w:cs="Arial"/>
                <w:sz w:val="20"/>
                <w:szCs w:val="20"/>
              </w:rPr>
            </w:pPr>
          </w:p>
          <w:p w:rsidR="00DE752B" w:rsidRPr="003042D8" w:rsidRDefault="00DE752B" w:rsidP="00DE752B">
            <w:pPr>
              <w:spacing w:after="257"/>
              <w:jc w:val="both"/>
              <w:rPr>
                <w:rFonts w:ascii="Cambria" w:hAnsi="Cambria" w:cs="Arial"/>
                <w:sz w:val="20"/>
                <w:szCs w:val="20"/>
              </w:rPr>
            </w:pPr>
            <w:r w:rsidRPr="003042D8">
              <w:rPr>
                <w:rFonts w:ascii="Arial" w:hAnsi="Arial" w:cs="Arial"/>
                <w:sz w:val="20"/>
                <w:szCs w:val="20"/>
              </w:rPr>
              <w:t>1</w:t>
            </w:r>
            <w:r w:rsidRPr="003042D8">
              <w:rPr>
                <w:rFonts w:ascii="Cambria" w:hAnsi="Cambria" w:cs="Arial"/>
                <w:sz w:val="20"/>
                <w:szCs w:val="20"/>
              </w:rPr>
              <w:t>. La persona no residente o entidad no domiciliada en el país mantenga una interacción o despliegue de mercadeo con trescientos mil (300.000) o más clientes y/o usuarios ubicados en el territorio colombiano durante el año gravable anterior o el año gravable en curso; o </w:t>
            </w: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 La persona no residente o entidad no domiciliada en el país mantenga o establezca la posibilidad de visualizar precios en pesos colombianos (COP) o permitir el pago en pesos colombianos (COP).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PARÁGRAFO 2. La persona no residente o entidad no domiciliada en Colombia a la que se refiere esta disposición, podrá optar por declarar y pagar en el formulario del impuesto sobre la renta, una tarifa del </w:t>
            </w:r>
            <w:r w:rsidRPr="003042D8">
              <w:rPr>
                <w:rFonts w:ascii="Cambria" w:hAnsi="Cambria" w:cs="Arial"/>
                <w:sz w:val="20"/>
                <w:szCs w:val="20"/>
                <w:highlight w:val="yellow"/>
              </w:rPr>
              <w:t>tres</w:t>
            </w:r>
            <w:r w:rsidRPr="003042D8">
              <w:rPr>
                <w:rFonts w:ascii="Cambria" w:hAnsi="Cambria" w:cs="Arial"/>
                <w:sz w:val="20"/>
                <w:szCs w:val="20"/>
              </w:rPr>
              <w:t xml:space="preserve"> por ciento </w:t>
            </w:r>
            <w:r w:rsidRPr="003042D8">
              <w:rPr>
                <w:rFonts w:ascii="Cambria" w:hAnsi="Cambria" w:cs="Arial"/>
                <w:sz w:val="20"/>
                <w:szCs w:val="20"/>
                <w:highlight w:val="yellow"/>
              </w:rPr>
              <w:t>(3%)</w:t>
            </w:r>
            <w:r w:rsidRPr="003042D8">
              <w:rPr>
                <w:rFonts w:ascii="Cambria" w:hAnsi="Cambria" w:cs="Arial"/>
                <w:sz w:val="20"/>
                <w:szCs w:val="20"/>
              </w:rPr>
              <w:t xml:space="preserve"> sobre la totalidad de los ingresos brutos derivados de la venta de bienes y/o prestación de servicios digitales, desde el exterior, vendidos o </w:t>
            </w:r>
            <w:r w:rsidRPr="003042D8">
              <w:rPr>
                <w:rFonts w:ascii="Cambria" w:hAnsi="Cambria" w:cs="Arial"/>
                <w:sz w:val="20"/>
                <w:szCs w:val="20"/>
              </w:rPr>
              <w:lastRenderedPageBreak/>
              <w:t>prestados a usuarios ubicados en el territorio nacional. En este caso, no aplicará el artículo 594-2 del Estatuto Tributario.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Cuando la persona no residente o entidad no domiciliada en Colombia, opte por este mecanismo, podrá solicitar la no aplicación de la retención en la fuente indicada en el inciso 8 del artículo 408 del Estatuto Tributario.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3. El numeral 1 del presente artículo se aplicará de manera agregada para las actividades realizadas por personas vinculadas según los criterios de vinculación previstos en el artículo 260-1 de este Estatuto.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4. Lo dispuesto en este artículo, se entenderá sin perjuicio de lo pactado en los convenios para eliminar la doble tributación suscritos por Colombia.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5. Lo dispuesto en este artículo que sea contrario a la norma mediante la cual se implemente un acuerdo internacional suscrito por Colombia que prohíba esta tributación, dejará de surtir efectos para los ejercicios fiscales que comiencen con posterioridad a la fecha en que entre en vigor dicho acuerdo internacional.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6. El Gobierno Nacional reglamentará las obligaciones de retención y declaración como también los mecanismos de recaudo.</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7. Los individuos y personas jurídicas, extranjeras con presencia económica significativa en el país, hayan sido o no nombrados gran contribuyente, no estarán sujetas a obligaciones formales, aplicables a los residentes fiscales.</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8. Las reglas previstas en este artículo y el artículo 408 del Estatuto Tributario, en relación con la presencia económica significativa, entrarán a regir a partir del 1 de enero de 2024.</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sz w:val="20"/>
                <w:szCs w:val="20"/>
              </w:rPr>
            </w:pPr>
          </w:p>
        </w:tc>
        <w:tc>
          <w:tcPr>
            <w:tcW w:w="4865" w:type="dxa"/>
          </w:tcPr>
          <w:p w:rsidR="00DE752B" w:rsidRPr="003042D8" w:rsidRDefault="00DE752B" w:rsidP="00DE752B">
            <w:pPr>
              <w:jc w:val="both"/>
              <w:rPr>
                <w:rFonts w:ascii="Cambria" w:hAnsi="Cambria"/>
                <w:sz w:val="20"/>
                <w:szCs w:val="20"/>
              </w:rPr>
            </w:pPr>
            <w:r w:rsidRPr="003042D8">
              <w:rPr>
                <w:rFonts w:ascii="Cambria" w:hAnsi="Cambria"/>
                <w:b/>
                <w:sz w:val="20"/>
                <w:szCs w:val="20"/>
              </w:rPr>
              <w:lastRenderedPageBreak/>
              <w:t xml:space="preserve">ARTÍCULO 20-3. Tributación por presencia económica significativa en Colombia </w:t>
            </w:r>
            <w:r w:rsidRPr="003042D8">
              <w:rPr>
                <w:rFonts w:ascii="Cambria" w:hAnsi="Cambria"/>
                <w:color w:val="00A9E0"/>
                <w:sz w:val="20"/>
                <w:szCs w:val="20"/>
                <w:u w:val="single"/>
              </w:rPr>
              <w:t>.</w:t>
            </w:r>
            <w:r w:rsidRPr="003042D8">
              <w:rPr>
                <w:rFonts w:ascii="Cambria" w:hAnsi="Cambria"/>
                <w:sz w:val="20"/>
                <w:szCs w:val="20"/>
              </w:rPr>
              <w:t> </w:t>
            </w:r>
            <w:r w:rsidRPr="003042D8">
              <w:rPr>
                <w:rFonts w:ascii="Cambria" w:hAnsi="Cambria"/>
                <w:color w:val="FF0000"/>
                <w:sz w:val="20"/>
                <w:szCs w:val="20"/>
              </w:rPr>
              <w:t xml:space="preserve">(modificado con artículo 12 </w:t>
            </w:r>
            <w:r w:rsidR="00FB60A2">
              <w:rPr>
                <w:rFonts w:ascii="Cambria" w:hAnsi="Cambria"/>
                <w:color w:val="FF0000"/>
                <w:sz w:val="20"/>
                <w:szCs w:val="20"/>
              </w:rPr>
              <w:t>del proyecto de Ley de septiembre de 2025</w:t>
            </w:r>
            <w:r w:rsidRPr="003042D8">
              <w:rPr>
                <w:rFonts w:ascii="Cambria" w:hAnsi="Cambria"/>
                <w:b/>
                <w:sz w:val="20"/>
                <w:szCs w:val="20"/>
              </w:rPr>
              <w:t>.</w:t>
            </w:r>
            <w:r w:rsidRPr="003042D8">
              <w:rPr>
                <w:rFonts w:ascii="Cambria" w:hAnsi="Cambria"/>
                <w:sz w:val="20"/>
                <w:szCs w:val="20"/>
              </w:rPr>
              <w:t xml:space="preserve">  Se encuentran sometidos al impuesto sobre la renta y complementarios las personas no residentes o entidades no domiciliadas en el país con presencia económica significativa en Colombia sobre los ingresos provenientes de la venta de bienes y/o prestación de servicios a favor de clientes y/o usuarios ubicados en el territorio nacional. La sujeción al impuesto sobre la renta aquí contemplada estará condicionada a las siguientes reglas: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1. Para la comercialización de bienes y/o servicios, se entenderá que una persona no residente o entidad no domiciliada tendrá una presencia económica significativa en Colombia cuando: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1.1 Se mantenga interacción (es) deliberada (s) y sistemática (s) en el mercado colombiano, esto es, con cliente(s) y/o usuario(s) ubicado(s) en el territorio nacional; y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sz w:val="20"/>
                <w:szCs w:val="20"/>
              </w:rPr>
            </w:pPr>
            <w:r w:rsidRPr="003042D8">
              <w:rPr>
                <w:rFonts w:ascii="Cambria" w:hAnsi="Cambria" w:cs="Arial"/>
                <w:sz w:val="20"/>
                <w:szCs w:val="20"/>
              </w:rPr>
              <w:t>1.2 Durante el año gravable anterior o en el año gravable en curso, hubiere obtenido </w:t>
            </w:r>
            <w:r w:rsidRPr="003042D8">
              <w:rPr>
                <w:rFonts w:ascii="Cambria" w:hAnsi="Cambria"/>
                <w:sz w:val="20"/>
                <w:szCs w:val="20"/>
              </w:rPr>
              <w:t>u obtenga ingresos brutos de treinta y un mil trescientas (31.300) UVT o más por transacciones que involucren venta de bienes con cliente(s) y/o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2. Para la prestación de servicios digitales desde el exterior se encuentran sujetos al impuesto sobre la renta, siendo necesario  cumplir los numerales anteriores, las personas que presten cualquiera de los siguientes: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2.1 Los servicios de publicidad online.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2.2 Los servicios de contenidos digitales, sean online o descargables, incluyendo las aplicaciones móviles, libros electrónicos, música y películas.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2.3 Los servicios de transmisión libre, incluyendo programas de televisión, películas, “</w:t>
            </w:r>
            <w:proofErr w:type="spellStart"/>
            <w:r w:rsidRPr="003042D8">
              <w:rPr>
                <w:rFonts w:ascii="Cambria" w:hAnsi="Cambria" w:cs="Arial"/>
                <w:sz w:val="20"/>
                <w:szCs w:val="20"/>
              </w:rPr>
              <w:t>streaming</w:t>
            </w:r>
            <w:proofErr w:type="spellEnd"/>
            <w:r w:rsidRPr="003042D8">
              <w:rPr>
                <w:rFonts w:ascii="Cambria" w:hAnsi="Cambria" w:cs="Arial"/>
                <w:sz w:val="20"/>
                <w:szCs w:val="20"/>
              </w:rPr>
              <w:t>”, música, transmisión multimedia -“podcasts” y cualquier forma de contenido digital.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2.4 Cualquier forma de monetización de información y/o datos de usuarios ubicados en el territorio nacional y que han sido generados por la actividad de dichos usuarios en mercados digitales.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2.5 Los servicios online de plataformas de intermediación.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2.6 Las suscripciones digitales a medios audiovisuales incluyendo, entre otras, noticias, magacines, periódicos, música, video, juegos de cualquier tipo.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2.7 La gerencia, administración o manejo de datos electrónicos incluyendo el almacenamiento web, almacenamiento de datos en línea, servicios de intercambio de archivos o de almacenamiento en la nube.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2.8 Los servicios o el licenciamiento de motores de búsqueda online, estandarizados o automatizados, incluyendo “software” personalizado.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2.9 El suministro de derecho de uso o explotación de intangibles.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2.10 Otros servicios electrónicos o digitales con destino a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2.11 Cualquier otro servicio prestado a través de un mercado digital con destino a usuarios ubicados en el territorio 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1. Para efectos del numeral 1.1. del presente artículo se presume que existe una (s) interacción (es) deliberada (s) y sistemática (s) en el mercado colombiano, esto es, con cliente(s) y/o usuario(s) ubicado(s) en el territorio nacional cuando: </w:t>
            </w:r>
          </w:p>
          <w:p w:rsidR="00DE752B" w:rsidRPr="003042D8" w:rsidRDefault="00DE752B" w:rsidP="00DE752B">
            <w:pPr>
              <w:rPr>
                <w:rFonts w:ascii="Arial" w:hAnsi="Arial" w:cs="Arial"/>
                <w:sz w:val="20"/>
                <w:szCs w:val="20"/>
              </w:rPr>
            </w:pPr>
          </w:p>
          <w:p w:rsidR="00DE752B" w:rsidRPr="003042D8" w:rsidRDefault="00DE752B" w:rsidP="00DE752B">
            <w:pPr>
              <w:spacing w:after="257"/>
              <w:jc w:val="both"/>
              <w:rPr>
                <w:rFonts w:ascii="Cambria" w:hAnsi="Cambria" w:cs="Arial"/>
                <w:sz w:val="20"/>
                <w:szCs w:val="20"/>
              </w:rPr>
            </w:pPr>
            <w:r w:rsidRPr="003042D8">
              <w:rPr>
                <w:rFonts w:ascii="Arial" w:hAnsi="Arial" w:cs="Arial"/>
                <w:sz w:val="20"/>
                <w:szCs w:val="20"/>
              </w:rPr>
              <w:t>1</w:t>
            </w:r>
            <w:r w:rsidRPr="003042D8">
              <w:rPr>
                <w:rFonts w:ascii="Cambria" w:hAnsi="Cambria" w:cs="Arial"/>
                <w:sz w:val="20"/>
                <w:szCs w:val="20"/>
              </w:rPr>
              <w:t>. La persona no residente o entidad no domiciliada en el país mantenga una interacción o despliegue de mercadeo con trescientos mil (300.000) o más clientes y/o usuarios ubicados en el territorio colombiano durante el año gravable anterior o el año gravable en curso; o </w:t>
            </w: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2. La persona no residente o entidad no domiciliada en el país mantenga o establezca la posibilidad de visualizar precios en pesos colombianos (COP) o permitir el pago en pesos colombianos (COP).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 xml:space="preserve">PARÁGRAFO 2. La persona no residente o entidad no domiciliada en Colombia a la que se refiere esta disposición, podrá optar por declarar y pagar en el formulario del impuesto sobre la renta, una tarifa del </w:t>
            </w:r>
            <w:r w:rsidRPr="003042D8">
              <w:rPr>
                <w:rFonts w:ascii="Cambria" w:hAnsi="Cambria" w:cs="Arial"/>
                <w:sz w:val="20"/>
                <w:szCs w:val="20"/>
                <w:highlight w:val="yellow"/>
              </w:rPr>
              <w:t>cinco</w:t>
            </w:r>
            <w:r w:rsidRPr="003042D8">
              <w:rPr>
                <w:rFonts w:ascii="Cambria" w:hAnsi="Cambria" w:cs="Arial"/>
                <w:sz w:val="20"/>
                <w:szCs w:val="20"/>
              </w:rPr>
              <w:t xml:space="preserve"> por ciento </w:t>
            </w:r>
            <w:r w:rsidRPr="003042D8">
              <w:rPr>
                <w:rFonts w:ascii="Cambria" w:hAnsi="Cambria" w:cs="Arial"/>
                <w:sz w:val="20"/>
                <w:szCs w:val="20"/>
                <w:highlight w:val="yellow"/>
              </w:rPr>
              <w:t>(5%)</w:t>
            </w:r>
            <w:r w:rsidRPr="003042D8">
              <w:rPr>
                <w:rFonts w:ascii="Cambria" w:hAnsi="Cambria" w:cs="Arial"/>
                <w:sz w:val="20"/>
                <w:szCs w:val="20"/>
              </w:rPr>
              <w:t xml:space="preserve"> sobre la totalidad de los ingresos brutos derivados de la venta de bienes y/o prestación de servicios digitales, desde el exterior, vendidos o prestados a usuarios ubicados en el territorio nacional. </w:t>
            </w:r>
            <w:r w:rsidRPr="003042D8">
              <w:rPr>
                <w:rFonts w:ascii="Cambria" w:hAnsi="Cambria" w:cs="Arial"/>
                <w:sz w:val="20"/>
                <w:szCs w:val="20"/>
              </w:rPr>
              <w:lastRenderedPageBreak/>
              <w:t>En este caso, no aplicará el artículo 594-2 del Estatuto Tributario.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Cuando la persona no residente o entidad no domiciliada en Colombia, opte por este mecanismo, podrá solicitar la no aplicación de la retención en la fuente indicada en el inciso 8 del artículo 408 del Estatuto Tributario.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3. El numeral 1 del presente artículo se aplicará de manera agregada para las actividades realizadas por personas vinculadas según los criterios de vinculación previstos en el artículo 260-1 de este Estatuto.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4. Lo dispuesto en este artículo, se entenderá sin perjuicio de lo pactado en los convenios para eliminar la doble tributación suscritos por Colombia.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5. Lo dispuesto en este artículo que sea contrario a la norma mediante la cual se implemente un acuerdo internacional suscrito por Colombia que prohíba esta tributación, dejará de surtir efectos para los ejercicios fiscales que comiencen con posterioridad a la fecha en que entre en vigor dicho acuerdo internacional. </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6. El Gobierno Nacional reglamentará las obligaciones de retención y declaración como también los mecanismos de recaudo.</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7. Los individuos y personas jurídicas, extranjeras con presencia económica significativa en el país, hayan sido o no nombrados gran contribuyente, no estarán sujetas a obligaciones formales, aplicables a los residentes fiscales.</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cs="Arial"/>
                <w:sz w:val="20"/>
                <w:szCs w:val="20"/>
              </w:rPr>
            </w:pPr>
            <w:r w:rsidRPr="003042D8">
              <w:rPr>
                <w:rFonts w:ascii="Cambria" w:hAnsi="Cambria" w:cs="Arial"/>
                <w:sz w:val="20"/>
                <w:szCs w:val="20"/>
              </w:rPr>
              <w:t>PARÁGRAFO 8. Las reglas previstas en este artículo y el artículo 408 del Estatuto Tributario, en relación con la presencia económica significativa, entrarán a regir a partir del 1 de enero de 2024.</w:t>
            </w:r>
          </w:p>
          <w:p w:rsidR="00DE752B" w:rsidRPr="003042D8" w:rsidRDefault="00DE752B" w:rsidP="00DE752B">
            <w:pPr>
              <w:jc w:val="both"/>
              <w:rPr>
                <w:rFonts w:ascii="Cambria" w:hAnsi="Cambria" w:cs="Arial"/>
                <w:sz w:val="20"/>
                <w:szCs w:val="20"/>
              </w:rPr>
            </w:pPr>
          </w:p>
          <w:p w:rsidR="00DE752B" w:rsidRPr="003042D8" w:rsidRDefault="00DE752B" w:rsidP="00DE752B">
            <w:pPr>
              <w:jc w:val="both"/>
              <w:rPr>
                <w:rFonts w:ascii="Cambria" w:hAnsi="Cambria"/>
                <w:sz w:val="20"/>
                <w:szCs w:val="20"/>
              </w:rPr>
            </w:pPr>
          </w:p>
        </w:tc>
      </w:tr>
      <w:tr w:rsidR="003042D8" w:rsidTr="0059378C">
        <w:tc>
          <w:tcPr>
            <w:tcW w:w="4958" w:type="dxa"/>
          </w:tcPr>
          <w:p w:rsidR="003042D8" w:rsidRPr="003042D8" w:rsidRDefault="003042D8" w:rsidP="003042D8">
            <w:pPr>
              <w:jc w:val="both"/>
              <w:rPr>
                <w:rFonts w:ascii="Cambria" w:hAnsi="Cambria"/>
                <w:sz w:val="20"/>
                <w:szCs w:val="20"/>
                <w:shd w:val="clear" w:color="auto" w:fill="FFFFFF"/>
              </w:rPr>
            </w:pPr>
            <w:bookmarkStart w:id="2" w:name="23"/>
            <w:r w:rsidRPr="003042D8">
              <w:rPr>
                <w:rFonts w:ascii="Cambria" w:hAnsi="Cambria"/>
                <w:b/>
                <w:bCs/>
                <w:color w:val="000000" w:themeColor="text1"/>
                <w:sz w:val="20"/>
                <w:szCs w:val="20"/>
                <w:shd w:val="clear" w:color="auto" w:fill="FFFFFF"/>
              </w:rPr>
              <w:lastRenderedPageBreak/>
              <w:t>Artículo 23. </w:t>
            </w:r>
            <w:r w:rsidRPr="003042D8">
              <w:rPr>
                <w:rStyle w:val="iaj"/>
                <w:rFonts w:ascii="Cambria" w:hAnsi="Cambria"/>
                <w:b/>
                <w:bCs/>
                <w:color w:val="000000" w:themeColor="text1"/>
                <w:spacing w:val="2"/>
                <w:sz w:val="20"/>
                <w:szCs w:val="20"/>
                <w:shd w:val="clear" w:color="auto" w:fill="FFFFFF"/>
              </w:rPr>
              <w:t>Entidades no contribuyentes declarantes</w:t>
            </w:r>
            <w:r w:rsidRPr="003042D8">
              <w:rPr>
                <w:rFonts w:ascii="Cambria" w:hAnsi="Cambria"/>
                <w:color w:val="00A9E0"/>
                <w:sz w:val="20"/>
                <w:szCs w:val="20"/>
                <w:u w:val="single"/>
                <w:shd w:val="clear" w:color="auto" w:fill="FFFFFF"/>
              </w:rPr>
              <w:t>.</w:t>
            </w:r>
            <w:bookmarkEnd w:id="2"/>
            <w:r w:rsidRPr="003042D8">
              <w:rPr>
                <w:rFonts w:ascii="Cambria" w:hAnsi="Cambria"/>
                <w:b/>
                <w:bCs/>
                <w:sz w:val="20"/>
                <w:szCs w:val="20"/>
                <w:shd w:val="clear" w:color="auto" w:fill="FFFFFF"/>
              </w:rPr>
              <w:t> </w:t>
            </w:r>
            <w:r w:rsidRPr="003042D8">
              <w:rPr>
                <w:rFonts w:ascii="Cambria" w:hAnsi="Cambria"/>
                <w:sz w:val="20"/>
                <w:szCs w:val="20"/>
                <w:shd w:val="clear" w:color="auto" w:fill="FFFFFF"/>
              </w:rPr>
              <w:t xml:space="preserve"> No son contribuyentes del impuesto sobre la renta los sindicatos, las asociaciones gremiales, los fondos de empleados, los fondos mutuos de inversión, las iglesias y confesiones religiosas reconocidas por el Ministerio del Interior o por la ley, los partidos o movimientos políticos aprobados por el Consejo Nacional Electoral; las asociaciones y federaciones de Departamentos y de Municipios, las </w:t>
            </w:r>
            <w:r w:rsidRPr="003042D8">
              <w:rPr>
                <w:rFonts w:ascii="Cambria" w:hAnsi="Cambria"/>
                <w:sz w:val="20"/>
                <w:szCs w:val="20"/>
                <w:shd w:val="clear" w:color="auto" w:fill="FFFFFF"/>
              </w:rPr>
              <w:lastRenderedPageBreak/>
              <w:t>sociedades o entidades de alcohólicos anónimos, los establecimientos públicos y en general cualquier establecimiento oficial descentralizado, siempre y cuando no se señale en la ley de otra manera. Estas entidades estarán en todo caso obligadas a presentar la declaración de ingresos y patrimonio.</w:t>
            </w:r>
          </w:p>
          <w:p w:rsidR="003042D8" w:rsidRDefault="003042D8" w:rsidP="003042D8">
            <w:pPr>
              <w:jc w:val="both"/>
              <w:rPr>
                <w:rFonts w:ascii="Cambria" w:hAnsi="Cambria"/>
                <w:sz w:val="20"/>
                <w:szCs w:val="20"/>
                <w:shd w:val="clear" w:color="auto" w:fill="FFFFFF"/>
              </w:rPr>
            </w:pPr>
          </w:p>
          <w:p w:rsidR="003042D8" w:rsidRPr="003042D8" w:rsidRDefault="003042D8" w:rsidP="003042D8">
            <w:pPr>
              <w:jc w:val="both"/>
              <w:rPr>
                <w:rFonts w:ascii="Cambria" w:hAnsi="Cambria"/>
                <w:sz w:val="20"/>
                <w:szCs w:val="20"/>
                <w:shd w:val="clear" w:color="auto" w:fill="FFFFFF"/>
              </w:rPr>
            </w:pPr>
          </w:p>
          <w:p w:rsidR="003042D8" w:rsidRDefault="003042D8" w:rsidP="003042D8">
            <w:pPr>
              <w:jc w:val="both"/>
              <w:rPr>
                <w:rFonts w:ascii="Cambria" w:hAnsi="Cambria"/>
                <w:sz w:val="20"/>
                <w:szCs w:val="20"/>
                <w:shd w:val="clear" w:color="auto" w:fill="FFFFFF"/>
              </w:rPr>
            </w:pPr>
            <w:r w:rsidRPr="003042D8">
              <w:rPr>
                <w:rFonts w:ascii="Cambria" w:hAnsi="Cambria"/>
                <w:sz w:val="20"/>
                <w:szCs w:val="20"/>
                <w:shd w:val="clear" w:color="auto" w:fill="FFFFFF"/>
              </w:rPr>
              <w:t>Las entidades de que trata el presente artículo deberán garantizar la transparencia en la gestión de sus recursos y en el desarrollo de su actividad. La DIAN podrá ejercer fiscalización sobre estas entidades y solicitar la información que considere pertinente para esos efectos.</w:t>
            </w:r>
          </w:p>
          <w:p w:rsidR="003042D8" w:rsidRPr="003042D8" w:rsidRDefault="003042D8" w:rsidP="003042D8">
            <w:pPr>
              <w:jc w:val="both"/>
              <w:rPr>
                <w:rFonts w:ascii="Cambria" w:hAnsi="Cambria" w:cstheme="minorHAnsi"/>
                <w:b/>
                <w:color w:val="000000" w:themeColor="text1"/>
                <w:sz w:val="20"/>
                <w:szCs w:val="20"/>
                <w:lang w:eastAsia="es-CO"/>
              </w:rPr>
            </w:pPr>
          </w:p>
        </w:tc>
        <w:tc>
          <w:tcPr>
            <w:tcW w:w="4865" w:type="dxa"/>
          </w:tcPr>
          <w:p w:rsidR="003042D8" w:rsidRPr="003042D8" w:rsidRDefault="003042D8" w:rsidP="003042D8">
            <w:pPr>
              <w:jc w:val="both"/>
              <w:rPr>
                <w:rFonts w:ascii="Cambria" w:hAnsi="Cambria"/>
                <w:sz w:val="20"/>
                <w:szCs w:val="20"/>
                <w:shd w:val="clear" w:color="auto" w:fill="FFFFFF"/>
              </w:rPr>
            </w:pPr>
            <w:r w:rsidRPr="003042D8">
              <w:rPr>
                <w:rFonts w:ascii="Cambria" w:hAnsi="Cambria"/>
                <w:b/>
                <w:bCs/>
                <w:color w:val="000000" w:themeColor="text1"/>
                <w:sz w:val="20"/>
                <w:szCs w:val="20"/>
                <w:shd w:val="clear" w:color="auto" w:fill="FFFFFF"/>
              </w:rPr>
              <w:lastRenderedPageBreak/>
              <w:t>Artículo 23. </w:t>
            </w:r>
            <w:r w:rsidRPr="003042D8">
              <w:rPr>
                <w:rStyle w:val="iaj"/>
                <w:rFonts w:ascii="Cambria" w:hAnsi="Cambria"/>
                <w:b/>
                <w:bCs/>
                <w:color w:val="000000" w:themeColor="text1"/>
                <w:spacing w:val="2"/>
                <w:sz w:val="20"/>
                <w:szCs w:val="20"/>
                <w:shd w:val="clear" w:color="auto" w:fill="FFFFFF"/>
              </w:rPr>
              <w:t>Entidades no contribuyentes declarantes</w:t>
            </w:r>
            <w:r>
              <w:rPr>
                <w:rStyle w:val="iaj"/>
                <w:rFonts w:ascii="Cambria" w:hAnsi="Cambria"/>
                <w:b/>
                <w:bCs/>
                <w:color w:val="000000" w:themeColor="text1"/>
                <w:spacing w:val="2"/>
                <w:sz w:val="20"/>
                <w:szCs w:val="20"/>
                <w:shd w:val="clear" w:color="auto" w:fill="FFFFFF"/>
              </w:rPr>
              <w:t xml:space="preserve"> </w:t>
            </w:r>
            <w:r w:rsidRPr="003042D8">
              <w:rPr>
                <w:rStyle w:val="iaj"/>
                <w:rFonts w:ascii="Cambria" w:hAnsi="Cambria"/>
                <w:color w:val="FF0000"/>
                <w:spacing w:val="2"/>
                <w:sz w:val="20"/>
                <w:szCs w:val="20"/>
                <w:shd w:val="clear" w:color="auto" w:fill="FFFFFF"/>
              </w:rPr>
              <w:t xml:space="preserve">(modificado con artículo 13 proyecto Ley </w:t>
            </w:r>
            <w:r w:rsidR="00FB60A2">
              <w:rPr>
                <w:rStyle w:val="iaj"/>
                <w:rFonts w:ascii="Cambria" w:hAnsi="Cambria"/>
                <w:color w:val="FF0000"/>
                <w:spacing w:val="2"/>
                <w:sz w:val="20"/>
                <w:szCs w:val="20"/>
                <w:shd w:val="clear" w:color="auto" w:fill="FFFFFF"/>
              </w:rPr>
              <w:t xml:space="preserve">de septiembre </w:t>
            </w:r>
            <w:r w:rsidRPr="003042D8">
              <w:rPr>
                <w:rStyle w:val="iaj"/>
                <w:rFonts w:ascii="Cambria" w:hAnsi="Cambria"/>
                <w:color w:val="FF0000"/>
                <w:spacing w:val="2"/>
                <w:sz w:val="20"/>
                <w:szCs w:val="20"/>
                <w:shd w:val="clear" w:color="auto" w:fill="FFFFFF"/>
              </w:rPr>
              <w:t>de 2025)</w:t>
            </w:r>
            <w:r w:rsidRPr="003042D8">
              <w:rPr>
                <w:rFonts w:ascii="Cambria" w:hAnsi="Cambria"/>
                <w:color w:val="FF0000"/>
                <w:sz w:val="20"/>
                <w:szCs w:val="20"/>
                <w:u w:val="single"/>
                <w:shd w:val="clear" w:color="auto" w:fill="FFFFFF"/>
              </w:rPr>
              <w:t>.</w:t>
            </w:r>
            <w:r w:rsidRPr="003042D8">
              <w:rPr>
                <w:rFonts w:ascii="Cambria" w:hAnsi="Cambria"/>
                <w:b/>
                <w:bCs/>
                <w:sz w:val="20"/>
                <w:szCs w:val="20"/>
                <w:shd w:val="clear" w:color="auto" w:fill="FFFFFF"/>
              </w:rPr>
              <w:t> </w:t>
            </w:r>
            <w:r w:rsidRPr="003042D8">
              <w:rPr>
                <w:rFonts w:ascii="Cambria" w:hAnsi="Cambria"/>
                <w:sz w:val="20"/>
                <w:szCs w:val="20"/>
                <w:shd w:val="clear" w:color="auto" w:fill="FFFFFF"/>
              </w:rPr>
              <w:t xml:space="preserve"> No son contribuyentes del impuesto sobre la renta los sindicatos, las asociaciones gremiales, los fondos de empleados, los fondos mutuos de inversión, las iglesias y confesiones religiosas reconocidas por el Ministerio del Interior o por la ley, los partidos o movimientos políticos aprobados por el Consejo Nacional Electoral; las </w:t>
            </w:r>
            <w:r w:rsidRPr="003042D8">
              <w:rPr>
                <w:rFonts w:ascii="Cambria" w:hAnsi="Cambria"/>
                <w:sz w:val="20"/>
                <w:szCs w:val="20"/>
                <w:shd w:val="clear" w:color="auto" w:fill="FFFFFF"/>
              </w:rPr>
              <w:lastRenderedPageBreak/>
              <w:t>asociaciones y federaciones de Departamentos y de Municipios, las sociedades o entidades de alcohólicos anónimos, los establecimientos públicos y en general cualquier establecimiento oficial descentralizado, siempre y cuando no se señale en la ley de otra manera. Estas entidades estarán en todo caso obligadas a presentar la declaración de ingresos y patrimonio.</w:t>
            </w:r>
          </w:p>
          <w:p w:rsidR="003042D8" w:rsidRPr="003042D8" w:rsidRDefault="003042D8" w:rsidP="003042D8">
            <w:pPr>
              <w:jc w:val="both"/>
              <w:rPr>
                <w:rFonts w:ascii="Cambria" w:hAnsi="Cambria"/>
                <w:sz w:val="20"/>
                <w:szCs w:val="20"/>
                <w:shd w:val="clear" w:color="auto" w:fill="FFFFFF"/>
              </w:rPr>
            </w:pPr>
          </w:p>
          <w:p w:rsidR="003042D8" w:rsidRDefault="003042D8" w:rsidP="003042D8">
            <w:pPr>
              <w:jc w:val="both"/>
              <w:rPr>
                <w:rFonts w:ascii="Cambria" w:hAnsi="Cambria"/>
                <w:sz w:val="20"/>
                <w:szCs w:val="20"/>
                <w:shd w:val="clear" w:color="auto" w:fill="FFFFFF"/>
              </w:rPr>
            </w:pPr>
            <w:r w:rsidRPr="003042D8">
              <w:rPr>
                <w:rFonts w:ascii="Cambria" w:hAnsi="Cambria"/>
                <w:sz w:val="20"/>
                <w:szCs w:val="20"/>
                <w:shd w:val="clear" w:color="auto" w:fill="FFFFFF"/>
              </w:rPr>
              <w:t>Las entidades de que trata el presente artículo deberán garantizar la transparencia en la gestión de sus recursos y en el desarrollo de su actividad. La DIAN podrá ejercer fiscalización sobre estas entidades y solicitar la información que considere pertinente para esos efectos.</w:t>
            </w:r>
          </w:p>
          <w:p w:rsidR="003042D8" w:rsidRDefault="003042D8" w:rsidP="003042D8">
            <w:pPr>
              <w:jc w:val="both"/>
              <w:rPr>
                <w:rFonts w:ascii="Cambria" w:hAnsi="Cambria" w:cstheme="minorHAnsi"/>
                <w:b/>
                <w:color w:val="000000" w:themeColor="text1"/>
                <w:sz w:val="20"/>
                <w:szCs w:val="20"/>
                <w:lang w:eastAsia="es-CO"/>
              </w:rPr>
            </w:pPr>
          </w:p>
          <w:p w:rsidR="003042D8" w:rsidRDefault="003042D8" w:rsidP="003042D8">
            <w:pPr>
              <w:jc w:val="both"/>
              <w:rPr>
                <w:rFonts w:ascii="Cambria" w:hAnsi="Cambria"/>
                <w:sz w:val="20"/>
                <w:szCs w:val="20"/>
                <w:shd w:val="clear" w:color="auto" w:fill="FFFFFF"/>
              </w:rPr>
            </w:pPr>
            <w:r w:rsidRPr="003042D8">
              <w:rPr>
                <w:rFonts w:ascii="Cambria" w:hAnsi="Cambria"/>
                <w:sz w:val="20"/>
                <w:szCs w:val="20"/>
                <w:highlight w:val="yellow"/>
                <w:shd w:val="clear" w:color="auto" w:fill="FFFFFF"/>
              </w:rPr>
              <w:t>Parágrafo. Las iglesias o confesiones religiosas de que trata el presente artículo que obtengan ingresos provenientes del desarrollo de actividades mercantiles serán contribuyentes del impuesto sobre la renta y complementarios del régimen ordinario sobre dichas rentas, debiendo separar sus ingresos, costos, gastos y patrimonio de las actividades que mantienen el tratamiento de no sujeto al impuesto sobre la renta. En este evento deben tener presente la aplicación de lo previsto en el artículo 177-1 del Estatuto Tributario, y en el caso del artículo 114-1 del mismo Estatuto no le será aplicable.</w:t>
            </w:r>
          </w:p>
          <w:p w:rsidR="003042D8" w:rsidRDefault="003042D8" w:rsidP="003042D8">
            <w:pPr>
              <w:jc w:val="both"/>
              <w:rPr>
                <w:sz w:val="20"/>
                <w:szCs w:val="20"/>
              </w:rPr>
            </w:pPr>
          </w:p>
          <w:p w:rsidR="003042D8" w:rsidRPr="003042D8" w:rsidRDefault="003042D8" w:rsidP="003042D8">
            <w:pPr>
              <w:jc w:val="both"/>
              <w:rPr>
                <w:rFonts w:ascii="Cambria" w:hAnsi="Cambria" w:cstheme="minorHAnsi"/>
                <w:b/>
                <w:color w:val="000000" w:themeColor="text1"/>
                <w:sz w:val="20"/>
                <w:szCs w:val="20"/>
                <w:lang w:eastAsia="es-CO"/>
              </w:rPr>
            </w:pPr>
          </w:p>
        </w:tc>
      </w:tr>
      <w:tr w:rsidR="000A0845" w:rsidTr="0059378C">
        <w:tc>
          <w:tcPr>
            <w:tcW w:w="4958" w:type="dxa"/>
          </w:tcPr>
          <w:p w:rsidR="000A0845" w:rsidRPr="000A0845" w:rsidRDefault="000A0845" w:rsidP="000A0845">
            <w:pPr>
              <w:jc w:val="both"/>
              <w:rPr>
                <w:rFonts w:ascii="Cambria" w:hAnsi="Cambria"/>
                <w:sz w:val="20"/>
                <w:szCs w:val="20"/>
              </w:rPr>
            </w:pPr>
            <w:bookmarkStart w:id="3" w:name="25"/>
            <w:r w:rsidRPr="000A0845">
              <w:rPr>
                <w:rFonts w:ascii="Cambria" w:hAnsi="Cambria"/>
                <w:b/>
                <w:bCs/>
                <w:color w:val="000000" w:themeColor="text1"/>
                <w:sz w:val="20"/>
                <w:szCs w:val="20"/>
              </w:rPr>
              <w:lastRenderedPageBreak/>
              <w:t>Articulo 25. Ingresos que no se consideran de fuente nacional</w:t>
            </w:r>
            <w:r w:rsidRPr="000A0845">
              <w:rPr>
                <w:rFonts w:ascii="Cambria" w:hAnsi="Cambria"/>
                <w:color w:val="00A9E0"/>
                <w:sz w:val="20"/>
                <w:szCs w:val="20"/>
                <w:u w:val="single"/>
              </w:rPr>
              <w:t>.</w:t>
            </w:r>
            <w:bookmarkEnd w:id="3"/>
            <w:r w:rsidRPr="000A0845">
              <w:rPr>
                <w:rFonts w:ascii="Cambria" w:hAnsi="Cambria"/>
                <w:sz w:val="20"/>
                <w:szCs w:val="20"/>
              </w:rPr>
              <w:t>  No generan renta de fuente dentro del país:</w:t>
            </w:r>
          </w:p>
          <w:p w:rsid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p>
          <w:p w:rsidR="00FB60A2" w:rsidRDefault="00FB60A2"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a) Los siguientes créditos obtenidos en el exterior, los cuales tampoco se entienden poseídos en Colombia:</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1. Los créditos a corto plazo originados en la importación de mercancías y servicios y en sobregiros o descubiertos bancarios. Para estos efectos se entiende por corto plazo, un plazo máximo de 6 meses.</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2. Los créditos destinados a la financiación o prefinanciación de exportaciones.</w:t>
            </w:r>
          </w:p>
          <w:p w:rsidR="000A0845" w:rsidRPr="000A0845" w:rsidRDefault="000A0845" w:rsidP="000A0845">
            <w:pPr>
              <w:jc w:val="both"/>
              <w:rPr>
                <w:rFonts w:ascii="Cambria" w:hAnsi="Cambria"/>
                <w:sz w:val="20"/>
                <w:szCs w:val="20"/>
              </w:rPr>
            </w:pPr>
            <w:r w:rsidRPr="000A0845">
              <w:rPr>
                <w:rFonts w:ascii="Cambria" w:hAnsi="Cambria"/>
                <w:sz w:val="20"/>
                <w:szCs w:val="20"/>
              </w:rPr>
              <w:t xml:space="preserve">3. Los créditos que obtengan de no residentes, denominados y/o desembolsados en moneda legal o extranjera, las corporaciones financieras, las cooperativas financieras, las compañías de financiamiento comercial, los bancos, </w:t>
            </w:r>
            <w:proofErr w:type="spellStart"/>
            <w:r w:rsidRPr="000A0845">
              <w:rPr>
                <w:rFonts w:ascii="Cambria" w:hAnsi="Cambria"/>
                <w:sz w:val="20"/>
                <w:szCs w:val="20"/>
              </w:rPr>
              <w:t>Bancoldex</w:t>
            </w:r>
            <w:proofErr w:type="spellEnd"/>
            <w:r w:rsidRPr="000A0845">
              <w:rPr>
                <w:rFonts w:ascii="Cambria" w:hAnsi="Cambria"/>
                <w:sz w:val="20"/>
                <w:szCs w:val="20"/>
              </w:rPr>
              <w:t xml:space="preserve">, Finagro, Findeter y las sociedades mercantiles sometidas a la vigilancia de la Superintendencia de Sociedades bajo un régimen de regulación prudencial, cuyo objeto exclusivo sea la </w:t>
            </w:r>
            <w:proofErr w:type="spellStart"/>
            <w:r w:rsidRPr="000A0845">
              <w:rPr>
                <w:rFonts w:ascii="Cambria" w:hAnsi="Cambria"/>
                <w:sz w:val="20"/>
                <w:szCs w:val="20"/>
              </w:rPr>
              <w:t>originación</w:t>
            </w:r>
            <w:proofErr w:type="spellEnd"/>
            <w:r w:rsidRPr="000A0845">
              <w:rPr>
                <w:rFonts w:ascii="Cambria" w:hAnsi="Cambria"/>
                <w:sz w:val="20"/>
                <w:szCs w:val="20"/>
              </w:rPr>
              <w:t xml:space="preserve"> de créditos y </w:t>
            </w:r>
            <w:r w:rsidRPr="000A0845">
              <w:rPr>
                <w:rFonts w:ascii="Cambria" w:hAnsi="Cambria"/>
                <w:sz w:val="20"/>
                <w:szCs w:val="20"/>
              </w:rPr>
              <w:lastRenderedPageBreak/>
              <w:t>cuyo endeudamiento sea destinado al desarrollo de su objeto social.</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 xml:space="preserve">4. Los créditos para operaciones de comercio exterior e importación de servicios, realizados por intermedio de </w:t>
            </w:r>
            <w:proofErr w:type="spellStart"/>
            <w:r w:rsidRPr="000A0845">
              <w:rPr>
                <w:rFonts w:ascii="Cambria" w:hAnsi="Cambria"/>
                <w:sz w:val="20"/>
                <w:szCs w:val="20"/>
              </w:rPr>
              <w:t>Bancoldex</w:t>
            </w:r>
            <w:proofErr w:type="spellEnd"/>
            <w:r w:rsidRPr="000A0845">
              <w:rPr>
                <w:rFonts w:ascii="Cambria" w:hAnsi="Cambria"/>
                <w:sz w:val="20"/>
                <w:szCs w:val="20"/>
              </w:rPr>
              <w:t>, Finagro y Findeter.</w:t>
            </w:r>
          </w:p>
          <w:p w:rsidR="000A0845" w:rsidRPr="000A0845" w:rsidRDefault="000A0845" w:rsidP="000A0845">
            <w:pPr>
              <w:jc w:val="both"/>
              <w:rPr>
                <w:rFonts w:ascii="Cambria" w:hAnsi="Cambria"/>
                <w:sz w:val="20"/>
                <w:szCs w:val="20"/>
              </w:rPr>
            </w:pPr>
            <w:r w:rsidRPr="000A0845">
              <w:rPr>
                <w:rFonts w:ascii="Cambria" w:hAnsi="Cambria"/>
                <w:sz w:val="20"/>
                <w:szCs w:val="20"/>
              </w:rPr>
              <w:t>Los intereses sobre los créditos a que hace referencia el presente literal, no están gravados con impuesto de renta. Quienes efectúen pagos o abonos en cuenta por concepto de tales intereses, no están obligados a efectuar retención en la fuente.</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b) Los ingresos derivados de los servicios técnicos de reparación y mantenimiento de equipos, prestados en el exterior, no se consideran de fuente nacional; en consecuencia, quienes efectúen pagos o abonos en cuenta por este concepto no están obligados a hacer retención en la fuente.</w:t>
            </w:r>
          </w:p>
          <w:p w:rsidR="000A0845" w:rsidRDefault="000A0845" w:rsidP="000A0845">
            <w:pPr>
              <w:jc w:val="both"/>
              <w:rPr>
                <w:rFonts w:ascii="Cambria" w:hAnsi="Cambria"/>
                <w:sz w:val="20"/>
                <w:szCs w:val="20"/>
                <w:shd w:val="clear" w:color="auto" w:fill="FFFFFF"/>
              </w:rPr>
            </w:pPr>
          </w:p>
          <w:p w:rsidR="000A0845" w:rsidRPr="000A0845" w:rsidRDefault="000A0845" w:rsidP="000A0845">
            <w:pPr>
              <w:jc w:val="both"/>
              <w:rPr>
                <w:rFonts w:ascii="Cambria" w:hAnsi="Cambria"/>
                <w:sz w:val="20"/>
                <w:szCs w:val="20"/>
                <w:shd w:val="clear" w:color="auto" w:fill="FFFFFF"/>
              </w:rPr>
            </w:pPr>
            <w:r w:rsidRPr="000A0845">
              <w:rPr>
                <w:rFonts w:ascii="Cambria" w:hAnsi="Cambria"/>
                <w:sz w:val="20"/>
                <w:szCs w:val="20"/>
                <w:shd w:val="clear" w:color="auto" w:fill="FFFFFF"/>
              </w:rPr>
              <w:t>c) Los ingresos obtenidos de la enajenación de mercancías extranjeras de propiedad de sociedades extranjeras o personas sin residencia en el país, que se hayan introducido desde el exterior a Centros de Distribución de Logística Internacional, ubicados en aeropuertos internacionales, puertos marítimos y los fluviales ubicados únicamente en los departamentos de Guainía, Vaupés, Putumayo y Amazonas habilitados por la Dirección de Impuestos y Aduanas Nacionales. Si las sociedades extranjeras o personas sin residencia en el país, propietarias de dichas mercancías, tienen algún tipo de vinculación económica en el país, es requisito esencial para que proceda el tratamiento previsto en este artículo, que sus vinculados económicos o partes relacionadas* en el país no obtengan beneficio alguno asociado a la enajenación de las mercancías. El Gobierno nacional reglamentará la materia.</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d) Para las empresas residentes fiscales colombianas, se consideran ingresos de fuente extranjera aquellos provenientes del transporte aéreo o marítimo internacional.</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e) Los dividendos distribuidos por sociedades pertenecientes al régimen CHC a personas no residentes, siempre que dichos dividendos provengan de rentas atribuibles a actividades realizadas por entidades no residentes.</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f) La prima en colocación de acciones distribuida por sociedades pertenecientes al régimen CHC a personas no residentes, siempre que dicha prima provenga de rentas atribuibles a actividades realizadas por entidades no residentes.</w:t>
            </w:r>
          </w:p>
          <w:p w:rsidR="000A0845" w:rsidRP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lastRenderedPageBreak/>
              <w:t>g) Las rentas derivadas de la venta o transmisión de las acciones de una CHC por parte de una persona no residente, respecto de la proporción de la venta correspondiente al valor creado por entidades no residentes.</w:t>
            </w:r>
          </w:p>
          <w:p w:rsidR="000A0845" w:rsidRPr="000A0845" w:rsidRDefault="000A0845" w:rsidP="000A0845">
            <w:pPr>
              <w:jc w:val="both"/>
              <w:rPr>
                <w:rFonts w:ascii="Cambria" w:hAnsi="Cambria" w:cstheme="minorHAnsi"/>
                <w:b/>
                <w:color w:val="000000" w:themeColor="text1"/>
                <w:sz w:val="20"/>
                <w:szCs w:val="20"/>
                <w:lang w:eastAsia="es-CO"/>
              </w:rPr>
            </w:pPr>
          </w:p>
        </w:tc>
        <w:tc>
          <w:tcPr>
            <w:tcW w:w="4865" w:type="dxa"/>
          </w:tcPr>
          <w:p w:rsidR="000A0845" w:rsidRPr="000A0845" w:rsidRDefault="000A0845" w:rsidP="000A0845">
            <w:pPr>
              <w:jc w:val="both"/>
              <w:rPr>
                <w:rFonts w:ascii="Cambria" w:hAnsi="Cambria"/>
                <w:sz w:val="20"/>
                <w:szCs w:val="20"/>
              </w:rPr>
            </w:pPr>
            <w:r w:rsidRPr="000A0845">
              <w:rPr>
                <w:rFonts w:ascii="Cambria" w:hAnsi="Cambria"/>
                <w:b/>
                <w:bCs/>
                <w:color w:val="000000" w:themeColor="text1"/>
                <w:sz w:val="20"/>
                <w:szCs w:val="20"/>
              </w:rPr>
              <w:lastRenderedPageBreak/>
              <w:t>Articulo 25. Ingresos que no se consideran de fuente nacional</w:t>
            </w:r>
            <w:r>
              <w:rPr>
                <w:rFonts w:ascii="Cambria" w:hAnsi="Cambria"/>
                <w:b/>
                <w:bCs/>
                <w:color w:val="000000" w:themeColor="text1"/>
                <w:sz w:val="20"/>
                <w:szCs w:val="20"/>
              </w:rPr>
              <w:t xml:space="preserve"> </w:t>
            </w:r>
            <w:r w:rsidRPr="000A0845">
              <w:rPr>
                <w:rFonts w:ascii="Cambria" w:hAnsi="Cambria"/>
                <w:color w:val="FF0000"/>
                <w:sz w:val="20"/>
                <w:szCs w:val="20"/>
              </w:rPr>
              <w:t xml:space="preserve">(modificado con artículo 46 </w:t>
            </w:r>
            <w:r w:rsidR="00FB60A2">
              <w:rPr>
                <w:rFonts w:ascii="Cambria" w:hAnsi="Cambria"/>
                <w:color w:val="FF0000"/>
                <w:sz w:val="20"/>
                <w:szCs w:val="20"/>
              </w:rPr>
              <w:t>proyecto de Ley de septiembre de 2025</w:t>
            </w:r>
            <w:r w:rsidRPr="000A0845">
              <w:rPr>
                <w:rFonts w:ascii="Cambria" w:hAnsi="Cambria"/>
                <w:color w:val="FF0000"/>
                <w:sz w:val="20"/>
                <w:szCs w:val="20"/>
              </w:rPr>
              <w:t>)</w:t>
            </w:r>
            <w:r w:rsidRPr="000A0845">
              <w:rPr>
                <w:rFonts w:ascii="Cambria" w:hAnsi="Cambria"/>
                <w:color w:val="FF0000"/>
                <w:sz w:val="20"/>
                <w:szCs w:val="20"/>
                <w:u w:val="single"/>
              </w:rPr>
              <w:t>.</w:t>
            </w:r>
            <w:r w:rsidRPr="000A0845">
              <w:rPr>
                <w:rFonts w:ascii="Cambria" w:hAnsi="Cambria"/>
                <w:color w:val="FF0000"/>
                <w:sz w:val="20"/>
                <w:szCs w:val="20"/>
              </w:rPr>
              <w:t xml:space="preserve">  </w:t>
            </w:r>
            <w:r w:rsidRPr="000A0845">
              <w:rPr>
                <w:rFonts w:ascii="Cambria" w:hAnsi="Cambria"/>
                <w:sz w:val="20"/>
                <w:szCs w:val="20"/>
              </w:rPr>
              <w:t>No generan renta de fuente dentro del país:</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a) Los siguientes créditos obtenidos en el exterior, los cuales tampoco se entienden poseídos en Colombia:</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1. Los créditos a corto plazo originados en la importación de mercancías y servicios y en sobregiros o descubiertos bancarios. Para estos efectos se entiende por corto plazo, un plazo máximo de 6 meses.</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2. Los créditos destinados a la financiación o prefinanciación de exportaciones.</w:t>
            </w:r>
          </w:p>
          <w:p w:rsidR="000A0845" w:rsidRPr="000A0845" w:rsidRDefault="000A0845" w:rsidP="000A0845">
            <w:pPr>
              <w:jc w:val="both"/>
              <w:rPr>
                <w:rFonts w:ascii="Cambria" w:hAnsi="Cambria"/>
                <w:sz w:val="20"/>
                <w:szCs w:val="20"/>
              </w:rPr>
            </w:pPr>
            <w:r w:rsidRPr="000A0845">
              <w:rPr>
                <w:rFonts w:ascii="Cambria" w:hAnsi="Cambria"/>
                <w:sz w:val="20"/>
                <w:szCs w:val="20"/>
              </w:rPr>
              <w:t xml:space="preserve">3. Los créditos que obtengan de no residentes, denominados y/o desembolsados en moneda legal o extranjera, las corporaciones financieras, las cooperativas financieras, las compañías de financiamiento comercial, los bancos, </w:t>
            </w:r>
            <w:proofErr w:type="spellStart"/>
            <w:r w:rsidRPr="000A0845">
              <w:rPr>
                <w:rFonts w:ascii="Cambria" w:hAnsi="Cambria"/>
                <w:sz w:val="20"/>
                <w:szCs w:val="20"/>
              </w:rPr>
              <w:t>Bancoldex</w:t>
            </w:r>
            <w:proofErr w:type="spellEnd"/>
            <w:r w:rsidRPr="000A0845">
              <w:rPr>
                <w:rFonts w:ascii="Cambria" w:hAnsi="Cambria"/>
                <w:sz w:val="20"/>
                <w:szCs w:val="20"/>
              </w:rPr>
              <w:t xml:space="preserve">, Finagro, Findeter y las sociedades mercantiles sometidas a la vigilancia de la Superintendencia de Sociedades bajo un régimen de regulación prudencial, cuyo objeto exclusivo sea la </w:t>
            </w:r>
            <w:proofErr w:type="spellStart"/>
            <w:r w:rsidRPr="000A0845">
              <w:rPr>
                <w:rFonts w:ascii="Cambria" w:hAnsi="Cambria"/>
                <w:sz w:val="20"/>
                <w:szCs w:val="20"/>
              </w:rPr>
              <w:t>originación</w:t>
            </w:r>
            <w:proofErr w:type="spellEnd"/>
            <w:r w:rsidRPr="000A0845">
              <w:rPr>
                <w:rFonts w:ascii="Cambria" w:hAnsi="Cambria"/>
                <w:sz w:val="20"/>
                <w:szCs w:val="20"/>
              </w:rPr>
              <w:t xml:space="preserve"> de créditos y </w:t>
            </w:r>
            <w:r w:rsidRPr="000A0845">
              <w:rPr>
                <w:rFonts w:ascii="Cambria" w:hAnsi="Cambria"/>
                <w:sz w:val="20"/>
                <w:szCs w:val="20"/>
              </w:rPr>
              <w:lastRenderedPageBreak/>
              <w:t>cuyo endeudamiento sea destinado al desarrollo de su objeto social.</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 xml:space="preserve">4. Los créditos para operaciones de comercio exterior e importación de servicios, realizados por intermedio de </w:t>
            </w:r>
            <w:proofErr w:type="spellStart"/>
            <w:r w:rsidRPr="000A0845">
              <w:rPr>
                <w:rFonts w:ascii="Cambria" w:hAnsi="Cambria"/>
                <w:sz w:val="20"/>
                <w:szCs w:val="20"/>
              </w:rPr>
              <w:t>Bancoldex</w:t>
            </w:r>
            <w:proofErr w:type="spellEnd"/>
            <w:r w:rsidRPr="000A0845">
              <w:rPr>
                <w:rFonts w:ascii="Cambria" w:hAnsi="Cambria"/>
                <w:sz w:val="20"/>
                <w:szCs w:val="20"/>
              </w:rPr>
              <w:t>, Finagro y Findeter.</w:t>
            </w:r>
          </w:p>
          <w:p w:rsidR="000A0845" w:rsidRPr="000A0845" w:rsidRDefault="000A0845" w:rsidP="000A0845">
            <w:pPr>
              <w:jc w:val="both"/>
              <w:rPr>
                <w:rFonts w:ascii="Cambria" w:hAnsi="Cambria"/>
                <w:sz w:val="20"/>
                <w:szCs w:val="20"/>
              </w:rPr>
            </w:pPr>
            <w:r w:rsidRPr="000A0845">
              <w:rPr>
                <w:rFonts w:ascii="Cambria" w:hAnsi="Cambria"/>
                <w:sz w:val="20"/>
                <w:szCs w:val="20"/>
              </w:rPr>
              <w:t>Los intereses sobre los créditos a que hace referencia el presente literal, no están gravados con impuesto de renta. Quienes efectúen pagos o abonos en cuenta por concepto de tales intereses, no están obligados a efectuar retención en la fuente.</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rPr>
            </w:pPr>
            <w:r w:rsidRPr="000A0845">
              <w:rPr>
                <w:rFonts w:ascii="Cambria" w:hAnsi="Cambria"/>
                <w:sz w:val="20"/>
                <w:szCs w:val="20"/>
              </w:rPr>
              <w:t>b) Los ingresos derivados de los servicios técnicos de reparación y mantenimiento de equipos, prestados en el exterior, no se consideran de fuente nacional; en consecuencia, quienes efectúen pagos o abonos en cuenta por este concepto no están obligados a hacer retención en la fuente.</w:t>
            </w:r>
          </w:p>
          <w:p w:rsidR="000A0845" w:rsidRDefault="000A0845" w:rsidP="000A0845">
            <w:pPr>
              <w:jc w:val="both"/>
              <w:rPr>
                <w:rFonts w:ascii="Cambria" w:hAnsi="Cambria"/>
                <w:sz w:val="20"/>
                <w:szCs w:val="20"/>
                <w:shd w:val="clear" w:color="auto" w:fill="FFFFFF"/>
              </w:rPr>
            </w:pPr>
          </w:p>
          <w:p w:rsidR="000A0845" w:rsidRPr="000A0845" w:rsidRDefault="000A0845" w:rsidP="000A0845">
            <w:pPr>
              <w:jc w:val="both"/>
              <w:rPr>
                <w:rFonts w:ascii="Cambria" w:hAnsi="Cambria"/>
                <w:sz w:val="20"/>
                <w:szCs w:val="20"/>
                <w:shd w:val="clear" w:color="auto" w:fill="FFFFFF"/>
              </w:rPr>
            </w:pPr>
            <w:r w:rsidRPr="000A0845">
              <w:rPr>
                <w:rFonts w:ascii="Cambria" w:hAnsi="Cambria"/>
                <w:sz w:val="20"/>
                <w:szCs w:val="20"/>
                <w:shd w:val="clear" w:color="auto" w:fill="FFFFFF"/>
              </w:rPr>
              <w:t>c) Los ingresos obtenidos de la enajenación de mercancías extranjeras de propiedad de sociedades extranjeras o personas sin residencia en el país, que se hayan introducido desde el exterior a Centros de Distribución de Logística Internacional, ubicados en aeropuertos internacionales, puertos marítimos y los fluviales ubicados únicamente en los departamentos de Guainía, Vaupés, Putumayo y Amazonas habilitados por la Dirección de Impuestos y Aduanas Nacionales. Si las sociedades extranjeras o personas sin residencia en el país, propietarias de dichas mercancías, tienen algún tipo de vinculación económica en el país, es requisito esencial para que proceda el tratamiento previsto en este artículo, que sus vinculados económicos o partes relacionadas* en el país no obtengan beneficio alguno asociado a la enajenación de las mercancías. El Gobierno nacional reglamentará la materia.</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d) Para las empresas residentes fiscales colombianas, se consideran ingresos de fuente extranjera aquellos provenientes del transporte aéreo o marítimo internacional.</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e) Los dividendos distribuidos por sociedades pertenecientes al régimen CHC a personas no residentes, siempre que dichos dividendos provengan de rentas atribuibles a actividades realizadas por entidades no residentes.</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t>f) La prima en colocación de acciones distribuida por sociedades pertenecientes al régimen CHC a personas no residentes, siempre que dicha prima provenga de rentas atribuibles a actividades realizadas por entidades no residentes.</w:t>
            </w:r>
          </w:p>
          <w:p w:rsidR="000A0845" w:rsidRPr="000A0845" w:rsidRDefault="000A0845" w:rsidP="000A0845">
            <w:pPr>
              <w:jc w:val="both"/>
              <w:rPr>
                <w:rFonts w:ascii="Cambria" w:hAnsi="Cambria"/>
                <w:sz w:val="20"/>
                <w:szCs w:val="20"/>
              </w:rPr>
            </w:pPr>
          </w:p>
          <w:p w:rsidR="000A0845" w:rsidRDefault="000A0845" w:rsidP="000A0845">
            <w:pPr>
              <w:jc w:val="both"/>
              <w:rPr>
                <w:rFonts w:ascii="Cambria" w:hAnsi="Cambria"/>
                <w:sz w:val="20"/>
                <w:szCs w:val="20"/>
              </w:rPr>
            </w:pPr>
            <w:r w:rsidRPr="000A0845">
              <w:rPr>
                <w:rFonts w:ascii="Cambria" w:hAnsi="Cambria"/>
                <w:sz w:val="20"/>
                <w:szCs w:val="20"/>
              </w:rPr>
              <w:lastRenderedPageBreak/>
              <w:t>g) Las rentas derivadas de la venta o transmisión de las acciones de una CHC por parte de una persona no residente, respecto de la proporción de la venta correspondiente al valor creado por entidades no residentes.</w:t>
            </w:r>
          </w:p>
          <w:p w:rsidR="000A0845" w:rsidRDefault="000A0845" w:rsidP="000A0845">
            <w:pPr>
              <w:jc w:val="both"/>
              <w:rPr>
                <w:rFonts w:ascii="Cambria" w:hAnsi="Cambria"/>
                <w:sz w:val="20"/>
                <w:szCs w:val="20"/>
              </w:rPr>
            </w:pPr>
          </w:p>
          <w:p w:rsidR="000A0845" w:rsidRPr="000A0845" w:rsidRDefault="000A0845" w:rsidP="000A0845">
            <w:pPr>
              <w:jc w:val="both"/>
              <w:rPr>
                <w:rFonts w:ascii="Cambria" w:hAnsi="Cambria"/>
                <w:sz w:val="20"/>
                <w:szCs w:val="20"/>
                <w:highlight w:val="yellow"/>
              </w:rPr>
            </w:pPr>
            <w:r w:rsidRPr="000A0845">
              <w:rPr>
                <w:rFonts w:ascii="Cambria" w:hAnsi="Cambria"/>
                <w:sz w:val="20"/>
                <w:szCs w:val="20"/>
                <w:highlight w:val="yellow"/>
              </w:rPr>
              <w:t xml:space="preserve">h) Los activos digitales. Excepto cuando se trate de un activo digital con un activo subyacente, en cuyo caso tendrá el tratamiento del activo subyacente. </w:t>
            </w:r>
          </w:p>
          <w:p w:rsidR="000A0845" w:rsidRPr="000A0845" w:rsidRDefault="000A0845" w:rsidP="000A0845">
            <w:pPr>
              <w:jc w:val="both"/>
              <w:rPr>
                <w:rFonts w:ascii="Cambria" w:hAnsi="Cambria"/>
                <w:sz w:val="20"/>
                <w:szCs w:val="20"/>
                <w:highlight w:val="yellow"/>
              </w:rPr>
            </w:pPr>
          </w:p>
          <w:p w:rsidR="000A0845" w:rsidRPr="000A0845" w:rsidRDefault="000A0845" w:rsidP="000A0845">
            <w:pPr>
              <w:jc w:val="both"/>
              <w:rPr>
                <w:rFonts w:ascii="Cambria" w:hAnsi="Cambria"/>
                <w:sz w:val="20"/>
                <w:szCs w:val="20"/>
              </w:rPr>
            </w:pPr>
            <w:r w:rsidRPr="000A0845">
              <w:rPr>
                <w:rFonts w:ascii="Cambria" w:hAnsi="Cambria"/>
                <w:sz w:val="20"/>
                <w:szCs w:val="20"/>
                <w:highlight w:val="yellow"/>
              </w:rPr>
              <w:t>Para todos los fines previstos en este estatuto se entiende por activo digital toda representación digital e intangible de un derecho susceptible de valoración, que puede crearse, transferirse y/o almacenarse electrónicamente sobre tecnologías de registro distribuido, equivalentes o similares</w:t>
            </w:r>
            <w:r w:rsidRPr="000A0845">
              <w:rPr>
                <w:rFonts w:ascii="Cambria" w:hAnsi="Cambria"/>
                <w:sz w:val="20"/>
                <w:szCs w:val="20"/>
              </w:rPr>
              <w:t>.</w:t>
            </w:r>
          </w:p>
          <w:p w:rsidR="000A0845" w:rsidRPr="000A0845" w:rsidRDefault="000A0845" w:rsidP="000A0845">
            <w:pPr>
              <w:jc w:val="both"/>
              <w:rPr>
                <w:rFonts w:ascii="Cambria" w:hAnsi="Cambria" w:cstheme="minorHAnsi"/>
                <w:b/>
                <w:color w:val="000000" w:themeColor="text1"/>
                <w:sz w:val="20"/>
                <w:szCs w:val="20"/>
                <w:lang w:eastAsia="es-CO"/>
              </w:rPr>
            </w:pPr>
          </w:p>
        </w:tc>
      </w:tr>
      <w:tr w:rsidR="008565BD" w:rsidTr="0059378C">
        <w:tc>
          <w:tcPr>
            <w:tcW w:w="4958" w:type="dxa"/>
          </w:tcPr>
          <w:p w:rsidR="008565BD" w:rsidRPr="008565BD" w:rsidRDefault="008565BD" w:rsidP="008565BD">
            <w:pPr>
              <w:jc w:val="both"/>
              <w:rPr>
                <w:rFonts w:ascii="Cambria" w:hAnsi="Cambria"/>
                <w:sz w:val="20"/>
                <w:szCs w:val="20"/>
                <w:highlight w:val="yellow"/>
              </w:rPr>
            </w:pPr>
            <w:r w:rsidRPr="008565BD">
              <w:rPr>
                <w:rFonts w:ascii="Cambria" w:hAnsi="Cambria"/>
                <w:b/>
                <w:sz w:val="20"/>
                <w:szCs w:val="20"/>
                <w:highlight w:val="yellow"/>
              </w:rPr>
              <w:lastRenderedPageBreak/>
              <w:t>Artículo 38</w:t>
            </w:r>
            <w:r w:rsidRPr="008565BD">
              <w:rPr>
                <w:rFonts w:ascii="Cambria" w:hAnsi="Cambria"/>
                <w:color w:val="FF0000"/>
                <w:sz w:val="20"/>
                <w:szCs w:val="20"/>
                <w:highlight w:val="yellow"/>
              </w:rPr>
              <w:t xml:space="preserve"> </w:t>
            </w:r>
            <w:r w:rsidRPr="008565BD">
              <w:rPr>
                <w:rFonts w:ascii="Cambria" w:hAnsi="Cambria"/>
                <w:b/>
                <w:sz w:val="20"/>
                <w:szCs w:val="20"/>
                <w:highlight w:val="yellow"/>
              </w:rPr>
              <w:t>El componente inflacionario de los rendimientos financieros percibidos por personas naturales y sucesiones ilíquidas</w:t>
            </w:r>
            <w:r w:rsidRPr="008565BD">
              <w:rPr>
                <w:rFonts w:ascii="Cambria" w:hAnsi="Cambria"/>
                <w:sz w:val="20"/>
                <w:szCs w:val="20"/>
                <w:highlight w:val="yellow"/>
              </w:rPr>
              <w:t xml:space="preserve">. </w:t>
            </w:r>
            <w:r w:rsidRPr="008565BD">
              <w:rPr>
                <w:rFonts w:ascii="Cambria" w:hAnsi="Cambria"/>
                <w:b/>
                <w:sz w:val="20"/>
                <w:szCs w:val="20"/>
                <w:highlight w:val="yellow"/>
              </w:rPr>
              <w:t xml:space="preserve">.  </w:t>
            </w:r>
            <w:r w:rsidRPr="008565BD">
              <w:rPr>
                <w:rFonts w:ascii="Cambria" w:hAnsi="Cambria"/>
                <w:b/>
                <w:color w:val="FF0000"/>
                <w:sz w:val="20"/>
                <w:szCs w:val="20"/>
                <w:highlight w:val="yellow"/>
              </w:rPr>
              <w:t>(revivido con el artículo 160 de la Ley 2010 de diciembre 27 de 2019).</w:t>
            </w:r>
            <w:r w:rsidRPr="008565BD">
              <w:rPr>
                <w:rFonts w:ascii="Cambria" w:hAnsi="Cambria"/>
                <w:sz w:val="20"/>
                <w:szCs w:val="20"/>
                <w:highlight w:val="yellow"/>
              </w:rPr>
              <w:t>  No constituye renta ni ganancia ocasional la parte que corresponda al componente inflacionario de los rendimientos financieros percibidos por personas naturales y sucesiones ilíquidas, que provengan de:</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a. Entidades que estando sometidas a inspección y vigilancia de la Superintendencia Bancaria*, tengan por objeto propio intermediar en el mercado de recursos financieros. Entidades vigiladas por el Departamento Administrativo Nacional de Cooperativas.</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b. Títulos de deuda pública.</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c. Bonos y papeles comerciales de sociedades anónimas cuya emisión u oferta haya sido autorizada por la Comisión Nacional de Valores.</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El porcentaje no constitutivo de renta ni de ganancia ocasional, se determinará como el resultado de dividir la tasa de corrección monetaria vigente el 31 de diciembre del respectivo año gravable por la tasa de interés anual que corresponda a los rendimientos percibidos por el ahorrador.</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Las entidades que paguen o abonen los rendimientos financieros de que trata este artículo, informarán a sus ahorradores el valor no gravado de conformidad con el inciso anterior.</w:t>
            </w:r>
          </w:p>
          <w:p w:rsidR="008565BD" w:rsidRPr="008565BD" w:rsidRDefault="008565BD" w:rsidP="008565BD">
            <w:pPr>
              <w:jc w:val="both"/>
              <w:rPr>
                <w:rStyle w:val="baj"/>
                <w:rFonts w:ascii="Cambria" w:hAnsi="Cambria" w:cs="Arial"/>
                <w:b/>
                <w:bCs/>
                <w:color w:val="000000"/>
                <w:sz w:val="20"/>
                <w:szCs w:val="20"/>
                <w:highlight w:val="yellow"/>
              </w:rPr>
            </w:pPr>
          </w:p>
          <w:p w:rsidR="008565BD" w:rsidRPr="008565BD" w:rsidRDefault="008565BD" w:rsidP="008565BD">
            <w:pPr>
              <w:jc w:val="both"/>
              <w:rPr>
                <w:rFonts w:ascii="Cambria" w:hAnsi="Cambria"/>
                <w:sz w:val="20"/>
                <w:szCs w:val="20"/>
                <w:highlight w:val="yellow"/>
              </w:rPr>
            </w:pPr>
            <w:r w:rsidRPr="008565BD">
              <w:rPr>
                <w:rStyle w:val="baj"/>
                <w:rFonts w:ascii="Cambria" w:hAnsi="Cambria" w:cs="Arial"/>
                <w:b/>
                <w:bCs/>
                <w:color w:val="000000"/>
                <w:sz w:val="20"/>
                <w:szCs w:val="20"/>
                <w:highlight w:val="yellow"/>
              </w:rPr>
              <w:t>PARAGRAFO 1o.</w:t>
            </w:r>
            <w:r w:rsidRPr="008565BD">
              <w:rPr>
                <w:rFonts w:ascii="Cambria" w:hAnsi="Cambria"/>
                <w:sz w:val="20"/>
                <w:szCs w:val="20"/>
                <w:highlight w:val="yellow"/>
              </w:rPr>
              <w:t xml:space="preserve"> Cuando los contribuyentes a que se refiere el presente artículo, soliciten costos o deducciones por intereses y demás gastos financieros, dichos costos y gastos serán deducidos previamente, </w:t>
            </w:r>
            <w:r w:rsidRPr="008565BD">
              <w:rPr>
                <w:rFonts w:ascii="Cambria" w:hAnsi="Cambria"/>
                <w:sz w:val="20"/>
                <w:szCs w:val="20"/>
                <w:highlight w:val="yellow"/>
              </w:rPr>
              <w:lastRenderedPageBreak/>
              <w:t>para efectos de determinar la parte no gravada de los rendimientos financieros, de conformidad con lo previsto en el presente artículo.</w:t>
            </w:r>
          </w:p>
          <w:p w:rsidR="008565BD" w:rsidRPr="008565BD" w:rsidRDefault="008565BD" w:rsidP="008565BD">
            <w:pPr>
              <w:jc w:val="both"/>
              <w:rPr>
                <w:rStyle w:val="baj"/>
                <w:rFonts w:ascii="Cambria" w:hAnsi="Cambria" w:cs="Arial"/>
                <w:b/>
                <w:bCs/>
                <w:color w:val="000000"/>
                <w:sz w:val="20"/>
                <w:szCs w:val="20"/>
                <w:highlight w:val="yellow"/>
              </w:rPr>
            </w:pPr>
          </w:p>
          <w:p w:rsidR="008565BD" w:rsidRPr="008565BD" w:rsidRDefault="008565BD" w:rsidP="008565BD">
            <w:pPr>
              <w:jc w:val="both"/>
              <w:rPr>
                <w:rFonts w:ascii="Cambria" w:hAnsi="Cambria"/>
                <w:sz w:val="20"/>
                <w:szCs w:val="20"/>
                <w:highlight w:val="yellow"/>
              </w:rPr>
            </w:pPr>
            <w:r w:rsidRPr="008565BD">
              <w:rPr>
                <w:rStyle w:val="baj"/>
                <w:rFonts w:ascii="Cambria" w:hAnsi="Cambria" w:cs="Arial"/>
                <w:b/>
                <w:bCs/>
                <w:color w:val="000000"/>
                <w:sz w:val="20"/>
                <w:szCs w:val="20"/>
                <w:highlight w:val="yellow"/>
              </w:rPr>
              <w:t>PARAGRAFO 2o.</w:t>
            </w:r>
            <w:r w:rsidRPr="008565BD">
              <w:rPr>
                <w:rFonts w:ascii="Cambria" w:hAnsi="Cambria"/>
                <w:sz w:val="20"/>
                <w:szCs w:val="20"/>
                <w:highlight w:val="yellow"/>
              </w:rPr>
              <w:t> Para efectos de la retención en la fuente, los porcentajes de retención que fija el Gobierno podrán aplicarse sobre el valor bruto del pago o abono en cuenta correspondiente al respectivo rendimiento.</w:t>
            </w:r>
          </w:p>
          <w:p w:rsidR="008565BD" w:rsidRPr="008565BD" w:rsidRDefault="008565BD" w:rsidP="008565BD">
            <w:pPr>
              <w:jc w:val="both"/>
              <w:rPr>
                <w:rFonts w:ascii="Cambria" w:hAnsi="Cambria"/>
                <w:sz w:val="20"/>
                <w:szCs w:val="20"/>
                <w:highlight w:val="yellow"/>
              </w:rPr>
            </w:pPr>
          </w:p>
          <w:p w:rsidR="008565BD" w:rsidRPr="008565BD" w:rsidRDefault="008565BD" w:rsidP="008565BD">
            <w:pPr>
              <w:jc w:val="both"/>
              <w:rPr>
                <w:rFonts w:ascii="Cambria" w:hAnsi="Cambria"/>
                <w:sz w:val="20"/>
                <w:szCs w:val="20"/>
                <w:highlight w:val="yellow"/>
              </w:rPr>
            </w:pPr>
            <w:r w:rsidRPr="008565BD">
              <w:rPr>
                <w:rStyle w:val="baj"/>
                <w:rFonts w:ascii="Cambria" w:hAnsi="Cambria" w:cs="Arial"/>
                <w:b/>
                <w:bCs/>
                <w:color w:val="000000"/>
                <w:sz w:val="20"/>
                <w:szCs w:val="20"/>
                <w:highlight w:val="yellow"/>
              </w:rPr>
              <w:t>PARAGRAFO 3o.</w:t>
            </w:r>
            <w:r w:rsidRPr="008565BD">
              <w:rPr>
                <w:rFonts w:ascii="Cambria" w:hAnsi="Cambria"/>
                <w:sz w:val="20"/>
                <w:szCs w:val="20"/>
                <w:highlight w:val="yellow"/>
              </w:rPr>
              <w:t> Para los efectos de este artículo, el ingreso originado en el ajuste por diferencia en cambio se asimilará a rendimientos financieros.</w:t>
            </w:r>
          </w:p>
          <w:p w:rsidR="008565BD" w:rsidRPr="008565BD" w:rsidRDefault="008565BD" w:rsidP="008565BD">
            <w:pPr>
              <w:jc w:val="both"/>
              <w:rPr>
                <w:rFonts w:ascii="Cambria" w:hAnsi="Cambria"/>
                <w:sz w:val="20"/>
                <w:szCs w:val="20"/>
                <w:highlight w:val="yellow"/>
              </w:rPr>
            </w:pPr>
          </w:p>
          <w:p w:rsidR="008565BD" w:rsidRPr="008565BD" w:rsidRDefault="008565BD" w:rsidP="008565BD">
            <w:pPr>
              <w:rPr>
                <w:rFonts w:ascii="Cambria" w:hAnsi="Cambria"/>
                <w:sz w:val="20"/>
                <w:szCs w:val="20"/>
                <w:highlight w:val="yellow"/>
                <w:lang w:val="es-ES"/>
              </w:rPr>
            </w:pPr>
          </w:p>
        </w:tc>
        <w:tc>
          <w:tcPr>
            <w:tcW w:w="4865" w:type="dxa"/>
          </w:tcPr>
          <w:p w:rsidR="008565BD" w:rsidRPr="008565BD" w:rsidRDefault="008565BD" w:rsidP="008565BD">
            <w:pPr>
              <w:rPr>
                <w:rFonts w:ascii="Cambria" w:hAnsi="Cambria"/>
                <w:sz w:val="20"/>
                <w:szCs w:val="20"/>
                <w:lang w:val="es-ES"/>
              </w:rPr>
            </w:pPr>
            <w:r w:rsidRPr="008565BD">
              <w:rPr>
                <w:rFonts w:ascii="Cambria" w:hAnsi="Cambria"/>
                <w:color w:val="FF0000"/>
                <w:sz w:val="20"/>
                <w:szCs w:val="20"/>
                <w:lang w:val="es-ES"/>
              </w:rPr>
              <w:lastRenderedPageBreak/>
              <w:t xml:space="preserve">Derogado con art. 95 proyecto Ley </w:t>
            </w:r>
            <w:r w:rsidR="00FB60A2">
              <w:rPr>
                <w:rFonts w:ascii="Cambria" w:hAnsi="Cambria"/>
                <w:color w:val="FF0000"/>
                <w:sz w:val="20"/>
                <w:szCs w:val="20"/>
                <w:lang w:val="es-ES"/>
              </w:rPr>
              <w:t xml:space="preserve">de septiembre </w:t>
            </w:r>
            <w:r w:rsidRPr="008565BD">
              <w:rPr>
                <w:rFonts w:ascii="Cambria" w:hAnsi="Cambria"/>
                <w:color w:val="FF0000"/>
                <w:sz w:val="20"/>
                <w:szCs w:val="20"/>
                <w:lang w:val="es-ES"/>
              </w:rPr>
              <w:t>de 2025</w:t>
            </w:r>
          </w:p>
        </w:tc>
      </w:tr>
      <w:tr w:rsidR="008565BD" w:rsidTr="0059378C">
        <w:tc>
          <w:tcPr>
            <w:tcW w:w="4958" w:type="dxa"/>
          </w:tcPr>
          <w:p w:rsidR="008565BD" w:rsidRPr="008565BD" w:rsidRDefault="008565BD" w:rsidP="008565BD">
            <w:pPr>
              <w:jc w:val="both"/>
              <w:rPr>
                <w:rFonts w:ascii="Cambria" w:hAnsi="Cambria"/>
                <w:color w:val="4B4949"/>
                <w:sz w:val="20"/>
                <w:szCs w:val="20"/>
                <w:highlight w:val="yellow"/>
              </w:rPr>
            </w:pPr>
            <w:r w:rsidRPr="008565BD">
              <w:rPr>
                <w:rFonts w:ascii="Cambria" w:hAnsi="Cambria"/>
                <w:b/>
                <w:sz w:val="20"/>
                <w:szCs w:val="20"/>
                <w:highlight w:val="yellow"/>
              </w:rPr>
              <w:t xml:space="preserve">ARTICULO 39. </w:t>
            </w:r>
            <w:r w:rsidRPr="008565BD">
              <w:rPr>
                <w:rFonts w:ascii="Cambria" w:hAnsi="Cambria"/>
                <w:sz w:val="20"/>
                <w:szCs w:val="20"/>
                <w:highlight w:val="yellow"/>
              </w:rPr>
              <w:t xml:space="preserve"> </w:t>
            </w:r>
            <w:r w:rsidRPr="008565BD">
              <w:rPr>
                <w:rFonts w:ascii="Cambria" w:hAnsi="Cambria"/>
                <w:b/>
                <w:sz w:val="20"/>
                <w:szCs w:val="20"/>
                <w:highlight w:val="yellow"/>
              </w:rPr>
              <w:t>Componente inflacionario de los rendimientos financieros que distribuyan los fondos de inversión, mutuos de inversión y de valores</w:t>
            </w:r>
            <w:r w:rsidRPr="008565BD">
              <w:rPr>
                <w:rFonts w:ascii="Cambria" w:hAnsi="Cambria"/>
                <w:sz w:val="20"/>
                <w:szCs w:val="20"/>
                <w:highlight w:val="yellow"/>
              </w:rPr>
              <w:t>.</w:t>
            </w:r>
            <w:r w:rsidRPr="008565BD">
              <w:rPr>
                <w:rFonts w:ascii="Cambria" w:hAnsi="Cambria"/>
                <w:color w:val="4B4949"/>
                <w:sz w:val="20"/>
                <w:szCs w:val="20"/>
                <w:highlight w:val="yellow"/>
              </w:rPr>
              <w:t> </w:t>
            </w:r>
            <w:r w:rsidRPr="008565BD">
              <w:rPr>
                <w:rFonts w:ascii="Cambria" w:hAnsi="Cambria"/>
                <w:b/>
                <w:sz w:val="20"/>
                <w:szCs w:val="20"/>
                <w:highlight w:val="yellow"/>
              </w:rPr>
              <w:t xml:space="preserve">.  </w:t>
            </w:r>
            <w:r w:rsidRPr="008565BD">
              <w:rPr>
                <w:rFonts w:ascii="Cambria" w:hAnsi="Cambria"/>
                <w:b/>
                <w:color w:val="FF0000"/>
                <w:sz w:val="20"/>
                <w:szCs w:val="20"/>
                <w:highlight w:val="yellow"/>
              </w:rPr>
              <w:t>(revivido con el artículo 160 de la Ley 2010 de diciembre 27 de 2019).</w:t>
            </w:r>
            <w:r w:rsidRPr="008565BD">
              <w:rPr>
                <w:rFonts w:ascii="Cambria" w:hAnsi="Cambria"/>
                <w:color w:val="4B4949"/>
                <w:sz w:val="20"/>
                <w:szCs w:val="20"/>
                <w:highlight w:val="yellow"/>
              </w:rPr>
              <w:t>Las utilidades que los fondos mutuos de inversión, los fondos de inversión y los fondos de valores distribuyan o abonen en cuenta a sus afiliados, no constituyen renta ni ganancia ocasional en la parte que corresponda al componente inflacionario de los rendimientos financieros recibidos por el fondo cuando éstos provengan de:</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a. Entidades que estando sometidas a la inspección y vigilancia de la Superintendencia Bancaria*, tengan por objeto propio intermediar en el mercado de recursos financieros.</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b. Títulos de deuda pública.</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br/>
              <w:t>c. Valores emitidos por sociedades anónimas cuya oferta pública haya sido autorizada por la Comisión Nacional de Valores*.</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Para los efectos del presente artículo, se entiende por componente inflacionario de los rendimientos financieros, el resultado de multiplicar el valor bruto de tales rendimientos, por la proporción que exista entre la tasa de corrección monetaria vigente a 31 de diciembre del año gravable y la tasa de captación más representativa a la misma fecha, según certificación de la Superintendencia Bancaria</w:t>
            </w:r>
          </w:p>
          <w:p w:rsidR="008565BD" w:rsidRPr="008565BD" w:rsidRDefault="008565BD" w:rsidP="008565BD">
            <w:pPr>
              <w:rPr>
                <w:rFonts w:ascii="Cambria" w:hAnsi="Cambria"/>
                <w:sz w:val="20"/>
                <w:szCs w:val="20"/>
                <w:highlight w:val="yellow"/>
                <w:lang w:val="es-ES"/>
              </w:rPr>
            </w:pPr>
          </w:p>
        </w:tc>
        <w:tc>
          <w:tcPr>
            <w:tcW w:w="4865" w:type="dxa"/>
          </w:tcPr>
          <w:p w:rsidR="008565BD" w:rsidRPr="008565BD" w:rsidRDefault="008565BD" w:rsidP="008565BD">
            <w:pPr>
              <w:rPr>
                <w:rFonts w:ascii="Cambria" w:hAnsi="Cambria"/>
                <w:sz w:val="20"/>
                <w:szCs w:val="20"/>
                <w:lang w:val="es-ES"/>
              </w:rPr>
            </w:pPr>
            <w:r w:rsidRPr="008565BD">
              <w:rPr>
                <w:rFonts w:ascii="Cambria" w:hAnsi="Cambria"/>
                <w:color w:val="FF0000"/>
                <w:sz w:val="20"/>
                <w:szCs w:val="20"/>
                <w:lang w:val="es-ES"/>
              </w:rPr>
              <w:t xml:space="preserve">Derogado con art. 95 proyecto Ley </w:t>
            </w:r>
            <w:r w:rsidR="00FB60A2">
              <w:rPr>
                <w:rFonts w:ascii="Cambria" w:hAnsi="Cambria"/>
                <w:color w:val="FF0000"/>
                <w:sz w:val="20"/>
                <w:szCs w:val="20"/>
                <w:lang w:val="es-ES"/>
              </w:rPr>
              <w:t>de septiembre</w:t>
            </w:r>
            <w:r w:rsidRPr="008565BD">
              <w:rPr>
                <w:rFonts w:ascii="Cambria" w:hAnsi="Cambria"/>
                <w:color w:val="FF0000"/>
                <w:sz w:val="20"/>
                <w:szCs w:val="20"/>
                <w:lang w:val="es-ES"/>
              </w:rPr>
              <w:t xml:space="preserve"> de 2025</w:t>
            </w:r>
          </w:p>
        </w:tc>
      </w:tr>
      <w:tr w:rsidR="008565BD" w:rsidTr="0059378C">
        <w:tc>
          <w:tcPr>
            <w:tcW w:w="4958" w:type="dxa"/>
          </w:tcPr>
          <w:p w:rsidR="008565BD" w:rsidRPr="008565BD" w:rsidRDefault="008565BD" w:rsidP="008565BD">
            <w:pPr>
              <w:jc w:val="both"/>
              <w:rPr>
                <w:rFonts w:ascii="Cambria" w:hAnsi="Cambria"/>
                <w:color w:val="4B4949"/>
                <w:sz w:val="20"/>
                <w:szCs w:val="20"/>
                <w:highlight w:val="yellow"/>
              </w:rPr>
            </w:pPr>
            <w:r w:rsidRPr="008565BD">
              <w:rPr>
                <w:rFonts w:ascii="Cambria" w:hAnsi="Cambria"/>
                <w:b/>
                <w:sz w:val="20"/>
                <w:szCs w:val="20"/>
                <w:highlight w:val="yellow"/>
              </w:rPr>
              <w:t>Articulo 40. El componente inflacionario en rendimientos financieros percibidos por los demás contribuyentes</w:t>
            </w:r>
            <w:r w:rsidRPr="008565BD">
              <w:rPr>
                <w:rFonts w:ascii="Cambria" w:hAnsi="Cambria"/>
                <w:sz w:val="20"/>
                <w:szCs w:val="20"/>
                <w:highlight w:val="yellow"/>
              </w:rPr>
              <w:t>.</w:t>
            </w:r>
            <w:r w:rsidRPr="008565BD">
              <w:rPr>
                <w:rFonts w:ascii="Cambria" w:hAnsi="Cambria"/>
                <w:color w:val="4B4949"/>
                <w:sz w:val="20"/>
                <w:szCs w:val="20"/>
                <w:highlight w:val="yellow"/>
              </w:rPr>
              <w:t> </w:t>
            </w:r>
            <w:r w:rsidRPr="008565BD">
              <w:rPr>
                <w:rFonts w:ascii="Cambria" w:hAnsi="Cambria"/>
                <w:b/>
                <w:sz w:val="20"/>
                <w:szCs w:val="20"/>
                <w:highlight w:val="yellow"/>
              </w:rPr>
              <w:t xml:space="preserve">.  </w:t>
            </w:r>
            <w:r w:rsidRPr="008565BD">
              <w:rPr>
                <w:rFonts w:ascii="Cambria" w:hAnsi="Cambria"/>
                <w:b/>
                <w:color w:val="FF0000"/>
                <w:sz w:val="20"/>
                <w:szCs w:val="20"/>
                <w:highlight w:val="yellow"/>
              </w:rPr>
              <w:t>(revivido con el artículo 160 de la Ley 2010 de diciembre 27 de 2019).</w:t>
            </w:r>
            <w:r w:rsidRPr="008565BD">
              <w:rPr>
                <w:rFonts w:ascii="Cambria" w:hAnsi="Cambria"/>
                <w:color w:val="4B4949"/>
                <w:sz w:val="20"/>
                <w:szCs w:val="20"/>
                <w:highlight w:val="yellow"/>
              </w:rPr>
              <w:t xml:space="preserve"> No constituye renta ni ganancia ocasional el componente inflacionario de los rendimientos financieros percibidos por los contribuyentes distintos de las personas naturales, en el porcentaje que se indica a continuación:</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30%         para los años gravables de 1989, 1990 y 1991</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40%         para el año gravable 1992</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50%         para el año gravable 1993</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60%         para el año gravable 1994</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70%         para el año gravable 1995</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80%         para el año gravable 1996</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90%         para el año gravable 1997</w:t>
            </w: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100%        para el año gravable 1998 y siguientes.</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Para los efectos del presente artículo, entiéndese por componente inflacionario de los rendimientos financieros, el resultado de multiplicar el valor bruto de tales rendimientos, por la proporción que exista entre la tasa de corrección monetaria vigente a 31 de diciembre del año inmediatamente anterior al gravable y la tasa de captación más representativa a la misma fecha, según certificación de la Superintendencia Bancaria.</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s="Arial"/>
                <w:b/>
                <w:bCs/>
                <w:color w:val="000000"/>
                <w:sz w:val="20"/>
                <w:szCs w:val="20"/>
                <w:highlight w:val="yellow"/>
              </w:rPr>
              <w:t>PARAGRAFO 1o.</w:t>
            </w:r>
            <w:r w:rsidRPr="008565BD">
              <w:rPr>
                <w:rFonts w:ascii="Cambria" w:hAnsi="Cambria"/>
                <w:color w:val="4B4949"/>
                <w:sz w:val="20"/>
                <w:szCs w:val="20"/>
                <w:highlight w:val="yellow"/>
              </w:rPr>
              <w:t> Para los efectos de este artículo, el ingreso generado en el ajuste por diferencia en cambio se asimilará a rendimientos financieros.</w:t>
            </w:r>
          </w:p>
          <w:p w:rsidR="008565BD" w:rsidRPr="008565BD" w:rsidRDefault="008565BD" w:rsidP="008565BD">
            <w:pPr>
              <w:rPr>
                <w:rFonts w:ascii="Cambria" w:hAnsi="Cambria"/>
                <w:sz w:val="20"/>
                <w:szCs w:val="20"/>
                <w:highlight w:val="yellow"/>
                <w:lang w:val="es-ES"/>
              </w:rPr>
            </w:pPr>
          </w:p>
        </w:tc>
        <w:tc>
          <w:tcPr>
            <w:tcW w:w="4865" w:type="dxa"/>
          </w:tcPr>
          <w:p w:rsidR="008565BD" w:rsidRPr="008565BD" w:rsidRDefault="008565BD" w:rsidP="008565BD">
            <w:pPr>
              <w:rPr>
                <w:rFonts w:ascii="Cambria" w:hAnsi="Cambria"/>
                <w:sz w:val="20"/>
                <w:szCs w:val="20"/>
                <w:lang w:val="es-ES"/>
              </w:rPr>
            </w:pPr>
            <w:r w:rsidRPr="008565BD">
              <w:rPr>
                <w:rFonts w:ascii="Cambria" w:hAnsi="Cambria"/>
                <w:color w:val="FF0000"/>
                <w:sz w:val="20"/>
                <w:szCs w:val="20"/>
                <w:lang w:val="es-ES"/>
              </w:rPr>
              <w:lastRenderedPageBreak/>
              <w:t xml:space="preserve">Derogado con art. 95 </w:t>
            </w:r>
            <w:r w:rsidR="00FB60A2">
              <w:rPr>
                <w:rFonts w:ascii="Cambria" w:hAnsi="Cambria"/>
                <w:color w:val="FF0000"/>
                <w:sz w:val="20"/>
                <w:szCs w:val="20"/>
                <w:lang w:val="es-ES"/>
              </w:rPr>
              <w:t>proyecto de Ley de septiembre de 2025</w:t>
            </w:r>
          </w:p>
        </w:tc>
      </w:tr>
      <w:tr w:rsidR="008565BD" w:rsidTr="0059378C">
        <w:tc>
          <w:tcPr>
            <w:tcW w:w="4958" w:type="dxa"/>
          </w:tcPr>
          <w:p w:rsidR="008565BD" w:rsidRPr="008565BD" w:rsidRDefault="008565BD" w:rsidP="008565BD">
            <w:pPr>
              <w:jc w:val="both"/>
              <w:rPr>
                <w:rFonts w:ascii="Cambria" w:hAnsi="Cambria"/>
                <w:sz w:val="20"/>
                <w:szCs w:val="20"/>
                <w:highlight w:val="yellow"/>
              </w:rPr>
            </w:pPr>
            <w:r w:rsidRPr="008565BD">
              <w:rPr>
                <w:rFonts w:ascii="Cambria" w:hAnsi="Cambria"/>
                <w:b/>
                <w:sz w:val="20"/>
                <w:szCs w:val="20"/>
                <w:highlight w:val="yellow"/>
              </w:rPr>
              <w:t>Articulo 40-1. Componente inflacionario de los rendimientos financieros</w:t>
            </w:r>
            <w:r w:rsidRPr="008565BD">
              <w:rPr>
                <w:rFonts w:ascii="Cambria" w:hAnsi="Cambria"/>
                <w:sz w:val="20"/>
                <w:szCs w:val="20"/>
                <w:highlight w:val="yellow"/>
              </w:rPr>
              <w:t xml:space="preserve">. </w:t>
            </w:r>
            <w:r w:rsidRPr="008565BD">
              <w:rPr>
                <w:rFonts w:ascii="Cambria" w:hAnsi="Cambria"/>
                <w:b/>
                <w:sz w:val="20"/>
                <w:szCs w:val="20"/>
                <w:highlight w:val="yellow"/>
              </w:rPr>
              <w:t xml:space="preserve">.  </w:t>
            </w:r>
            <w:r w:rsidRPr="008565BD">
              <w:rPr>
                <w:rFonts w:ascii="Cambria" w:hAnsi="Cambria"/>
                <w:b/>
                <w:color w:val="FF0000"/>
                <w:sz w:val="20"/>
                <w:szCs w:val="20"/>
                <w:highlight w:val="yellow"/>
              </w:rPr>
              <w:t>(revivido con el artículo 160 de la Ley 2010 de diciembre 27 de 2019).</w:t>
            </w:r>
            <w:r w:rsidRPr="008565BD">
              <w:rPr>
                <w:rFonts w:ascii="Cambria" w:hAnsi="Cambria"/>
                <w:color w:val="4B4949"/>
                <w:sz w:val="20"/>
                <w:szCs w:val="20"/>
                <w:highlight w:val="yellow"/>
              </w:rPr>
              <w:t>  Para fines de los cálculos previstos en los artículos 38, 39 y 40 del Estatuto Tributario, el componente inflacionario de los rendimientos financieros se determinará como el resultado de dividir la tasa de inflación del respectivo año gravable, certificada por el DANE, por la tasa de captación más representativa del mercado, en el mismo período, certificada por la Superintendencia Bancaria*.</w:t>
            </w:r>
          </w:p>
          <w:p w:rsidR="008565BD" w:rsidRPr="008565BD" w:rsidRDefault="008565BD" w:rsidP="008565BD">
            <w:pPr>
              <w:rPr>
                <w:rFonts w:ascii="Cambria" w:hAnsi="Cambria"/>
                <w:sz w:val="20"/>
                <w:szCs w:val="20"/>
                <w:highlight w:val="yellow"/>
                <w:lang w:val="es-ES"/>
              </w:rPr>
            </w:pPr>
          </w:p>
        </w:tc>
        <w:tc>
          <w:tcPr>
            <w:tcW w:w="4865" w:type="dxa"/>
          </w:tcPr>
          <w:p w:rsidR="008565BD" w:rsidRPr="008565BD" w:rsidRDefault="008565BD" w:rsidP="008565BD">
            <w:pPr>
              <w:rPr>
                <w:rFonts w:ascii="Cambria" w:hAnsi="Cambria"/>
                <w:sz w:val="20"/>
                <w:szCs w:val="20"/>
                <w:lang w:val="es-ES"/>
              </w:rPr>
            </w:pPr>
            <w:r w:rsidRPr="008565BD">
              <w:rPr>
                <w:rFonts w:ascii="Cambria" w:hAnsi="Cambria"/>
                <w:color w:val="FF0000"/>
                <w:sz w:val="20"/>
                <w:szCs w:val="20"/>
                <w:lang w:val="es-ES"/>
              </w:rPr>
              <w:t xml:space="preserve">Derogado con art. 95 </w:t>
            </w:r>
            <w:r w:rsidR="00FB60A2">
              <w:rPr>
                <w:rFonts w:ascii="Cambria" w:hAnsi="Cambria"/>
                <w:color w:val="FF0000"/>
                <w:sz w:val="20"/>
                <w:szCs w:val="20"/>
                <w:lang w:val="es-ES"/>
              </w:rPr>
              <w:t>proyecto de Ley de septiembre de 2025</w:t>
            </w:r>
          </w:p>
        </w:tc>
      </w:tr>
      <w:tr w:rsidR="008565BD" w:rsidTr="0059378C">
        <w:tc>
          <w:tcPr>
            <w:tcW w:w="4958" w:type="dxa"/>
          </w:tcPr>
          <w:p w:rsidR="008565BD" w:rsidRPr="008565BD" w:rsidRDefault="008565BD" w:rsidP="008565BD">
            <w:pPr>
              <w:jc w:val="both"/>
              <w:rPr>
                <w:rFonts w:ascii="Cambria" w:hAnsi="Cambria"/>
                <w:color w:val="4B4949"/>
                <w:sz w:val="20"/>
                <w:szCs w:val="20"/>
                <w:highlight w:val="yellow"/>
              </w:rPr>
            </w:pPr>
            <w:r w:rsidRPr="008565BD">
              <w:rPr>
                <w:rFonts w:ascii="Cambria" w:hAnsi="Cambria"/>
                <w:b/>
                <w:color w:val="000000" w:themeColor="text1"/>
                <w:sz w:val="20"/>
                <w:szCs w:val="20"/>
                <w:highlight w:val="yellow"/>
              </w:rPr>
              <w:t>Articulo 41. </w:t>
            </w:r>
            <w:r w:rsidRPr="008565BD">
              <w:rPr>
                <w:rFonts w:ascii="Cambria" w:hAnsi="Cambria" w:cs="Arial"/>
                <w:b/>
                <w:bCs/>
                <w:iCs/>
                <w:color w:val="000000" w:themeColor="text1"/>
                <w:sz w:val="20"/>
                <w:szCs w:val="20"/>
                <w:highlight w:val="yellow"/>
              </w:rPr>
              <w:t>Componente inflacionario de rendimientos y gastos financieros</w:t>
            </w:r>
            <w:r w:rsidRPr="008565BD">
              <w:rPr>
                <w:rFonts w:ascii="Cambria" w:hAnsi="Cambria" w:cs="Arial"/>
                <w:b/>
                <w:bCs/>
                <w:i/>
                <w:iCs/>
                <w:color w:val="0073FF"/>
                <w:sz w:val="20"/>
                <w:szCs w:val="20"/>
                <w:highlight w:val="yellow"/>
              </w:rPr>
              <w:t>.</w:t>
            </w:r>
            <w:r w:rsidRPr="008565BD">
              <w:rPr>
                <w:rFonts w:ascii="Cambria" w:hAnsi="Cambria"/>
                <w:color w:val="008400"/>
                <w:sz w:val="20"/>
                <w:szCs w:val="20"/>
                <w:highlight w:val="yellow"/>
              </w:rPr>
              <w:t> </w:t>
            </w:r>
            <w:r w:rsidRPr="008565BD">
              <w:rPr>
                <w:rFonts w:ascii="Cambria" w:hAnsi="Cambria"/>
                <w:b/>
                <w:sz w:val="20"/>
                <w:szCs w:val="20"/>
                <w:highlight w:val="yellow"/>
              </w:rPr>
              <w:t xml:space="preserve">.  </w:t>
            </w:r>
            <w:r w:rsidRPr="008565BD">
              <w:rPr>
                <w:rFonts w:ascii="Cambria" w:hAnsi="Cambria"/>
                <w:b/>
                <w:color w:val="FF0000"/>
                <w:sz w:val="20"/>
                <w:szCs w:val="20"/>
                <w:highlight w:val="yellow"/>
              </w:rPr>
              <w:t>(revivido con el artículo 160 de la Ley 2010 de diciembre 27 de 2019).</w:t>
            </w:r>
            <w:r w:rsidRPr="008565BD">
              <w:rPr>
                <w:rFonts w:ascii="Cambria" w:hAnsi="Cambria"/>
                <w:color w:val="4B4949"/>
                <w:sz w:val="20"/>
                <w:szCs w:val="20"/>
                <w:highlight w:val="yellow"/>
              </w:rPr>
              <w:t xml:space="preserve"> El componente inflacionario de los rendimientos y gastos financieros a que se refieren los artículos </w:t>
            </w:r>
            <w:hyperlink r:id="rId8" w:anchor="40-1" w:history="1">
              <w:r w:rsidRPr="008565BD">
                <w:rPr>
                  <w:rFonts w:ascii="Cambria" w:hAnsi="Cambria"/>
                  <w:color w:val="4B4949"/>
                  <w:sz w:val="20"/>
                  <w:szCs w:val="20"/>
                  <w:highlight w:val="yellow"/>
                </w:rPr>
                <w:t>40-1</w:t>
              </w:r>
            </w:hyperlink>
            <w:r w:rsidRPr="008565BD">
              <w:rPr>
                <w:rFonts w:ascii="Cambria" w:hAnsi="Cambria"/>
                <w:color w:val="4B4949"/>
                <w:sz w:val="20"/>
                <w:szCs w:val="20"/>
                <w:highlight w:val="yellow"/>
              </w:rPr>
              <w:t>, </w:t>
            </w:r>
            <w:hyperlink r:id="rId9" w:anchor="81-1" w:history="1">
              <w:r w:rsidRPr="008565BD">
                <w:rPr>
                  <w:rFonts w:ascii="Cambria" w:hAnsi="Cambria"/>
                  <w:color w:val="4B4949"/>
                  <w:sz w:val="20"/>
                  <w:szCs w:val="20"/>
                  <w:highlight w:val="yellow"/>
                </w:rPr>
                <w:t>81-1</w:t>
              </w:r>
            </w:hyperlink>
            <w:r w:rsidRPr="008565BD">
              <w:rPr>
                <w:rFonts w:ascii="Cambria" w:hAnsi="Cambria"/>
                <w:color w:val="4B4949"/>
                <w:sz w:val="20"/>
                <w:szCs w:val="20"/>
                <w:highlight w:val="yellow"/>
              </w:rPr>
              <w:t> y </w:t>
            </w:r>
            <w:hyperlink r:id="rId10" w:anchor="118" w:history="1">
              <w:r w:rsidRPr="008565BD">
                <w:rPr>
                  <w:rFonts w:ascii="Cambria" w:hAnsi="Cambria"/>
                  <w:color w:val="4B4949"/>
                  <w:sz w:val="20"/>
                  <w:szCs w:val="20"/>
                  <w:highlight w:val="yellow"/>
                </w:rPr>
                <w:t>118</w:t>
              </w:r>
            </w:hyperlink>
            <w:r w:rsidRPr="008565BD">
              <w:rPr>
                <w:rFonts w:ascii="Cambria" w:hAnsi="Cambria"/>
                <w:color w:val="4B4949"/>
                <w:sz w:val="20"/>
                <w:szCs w:val="20"/>
                <w:highlight w:val="yellow"/>
              </w:rPr>
              <w:t> de este Estatuto, será aplicable únicamente por las personas naturales y sucesiones ilíquidas no obligadas a llevar libros de contabilidad.</w:t>
            </w:r>
          </w:p>
          <w:p w:rsidR="008565BD" w:rsidRPr="008565BD" w:rsidRDefault="008565BD" w:rsidP="008565BD">
            <w:pPr>
              <w:jc w:val="both"/>
              <w:rPr>
                <w:rFonts w:ascii="Cambria" w:hAnsi="Cambria"/>
                <w:color w:val="4B4949"/>
                <w:sz w:val="20"/>
                <w:szCs w:val="20"/>
                <w:highlight w:val="yellow"/>
              </w:rPr>
            </w:pPr>
          </w:p>
          <w:p w:rsidR="008565BD" w:rsidRPr="008565BD" w:rsidRDefault="008565BD" w:rsidP="008565BD">
            <w:pPr>
              <w:jc w:val="both"/>
              <w:rPr>
                <w:rFonts w:ascii="Cambria" w:hAnsi="Cambria"/>
                <w:color w:val="4B4949"/>
                <w:sz w:val="20"/>
                <w:szCs w:val="20"/>
                <w:highlight w:val="yellow"/>
              </w:rPr>
            </w:pPr>
            <w:r w:rsidRPr="008565BD">
              <w:rPr>
                <w:rFonts w:ascii="Cambria" w:hAnsi="Cambria"/>
                <w:color w:val="4B4949"/>
                <w:sz w:val="20"/>
                <w:szCs w:val="20"/>
                <w:highlight w:val="yellow"/>
              </w:rPr>
              <w:t>Los intereses, los ajustes por diferencia en cambio, así como los demás gastos financieros, en los cuales se incurra para la adquisición o construcción de activos, constituirán un mayor valor del activo hasta cuando haya concluido el proceso de puesta en marcha o tales activos se encuentren en condiciones de utilización o enajenación. Después de este momento constituirán un gasto deducible.</w:t>
            </w:r>
          </w:p>
          <w:p w:rsidR="008565BD" w:rsidRPr="008565BD" w:rsidRDefault="008565BD" w:rsidP="008565BD">
            <w:pPr>
              <w:rPr>
                <w:rFonts w:ascii="Cambria" w:hAnsi="Cambria"/>
                <w:sz w:val="20"/>
                <w:szCs w:val="20"/>
                <w:highlight w:val="yellow"/>
                <w:lang w:val="es-ES"/>
              </w:rPr>
            </w:pPr>
          </w:p>
        </w:tc>
        <w:tc>
          <w:tcPr>
            <w:tcW w:w="4865" w:type="dxa"/>
          </w:tcPr>
          <w:p w:rsidR="008565BD" w:rsidRPr="008565BD" w:rsidRDefault="008565BD" w:rsidP="008565BD">
            <w:pPr>
              <w:jc w:val="both"/>
              <w:rPr>
                <w:rFonts w:ascii="Cambria" w:hAnsi="Cambria"/>
                <w:sz w:val="20"/>
                <w:szCs w:val="20"/>
                <w:lang w:val="es-ES"/>
              </w:rPr>
            </w:pPr>
            <w:r w:rsidRPr="008565BD">
              <w:rPr>
                <w:rFonts w:ascii="Cambria" w:hAnsi="Cambria"/>
                <w:color w:val="FF0000"/>
                <w:sz w:val="20"/>
                <w:szCs w:val="20"/>
                <w:lang w:val="es-ES"/>
              </w:rPr>
              <w:t xml:space="preserve">Derogado con art. 95 </w:t>
            </w:r>
            <w:r w:rsidR="00FB60A2">
              <w:rPr>
                <w:rFonts w:ascii="Cambria" w:hAnsi="Cambria"/>
                <w:color w:val="FF0000"/>
                <w:sz w:val="20"/>
                <w:szCs w:val="20"/>
                <w:lang w:val="es-ES"/>
              </w:rPr>
              <w:t>proyecto de Ley de septiembre de 2025</w:t>
            </w:r>
          </w:p>
        </w:tc>
      </w:tr>
      <w:tr w:rsidR="000A0845" w:rsidTr="0059378C">
        <w:tc>
          <w:tcPr>
            <w:tcW w:w="4958" w:type="dxa"/>
          </w:tcPr>
          <w:p w:rsidR="008565BD" w:rsidRPr="008565BD" w:rsidRDefault="008565BD" w:rsidP="008565BD">
            <w:pPr>
              <w:jc w:val="both"/>
              <w:rPr>
                <w:rFonts w:ascii="Cambria" w:hAnsi="Cambria"/>
                <w:sz w:val="20"/>
                <w:szCs w:val="20"/>
                <w:highlight w:val="yellow"/>
              </w:rPr>
            </w:pPr>
            <w:bookmarkStart w:id="4" w:name="44"/>
            <w:r w:rsidRPr="008565BD">
              <w:rPr>
                <w:rFonts w:ascii="Cambria" w:hAnsi="Cambria"/>
                <w:b/>
                <w:bCs/>
                <w:color w:val="000000" w:themeColor="text1"/>
                <w:sz w:val="20"/>
                <w:szCs w:val="20"/>
                <w:highlight w:val="yellow"/>
              </w:rPr>
              <w:lastRenderedPageBreak/>
              <w:t>Articulo 44. La utilidad en la venta de casa o apartamento de habitación.</w:t>
            </w:r>
            <w:bookmarkEnd w:id="4"/>
            <w:r w:rsidRPr="008565BD">
              <w:rPr>
                <w:rFonts w:ascii="Cambria" w:hAnsi="Cambria"/>
                <w:color w:val="000000" w:themeColor="text1"/>
                <w:sz w:val="20"/>
                <w:szCs w:val="20"/>
                <w:highlight w:val="yellow"/>
              </w:rPr>
              <w:t> </w:t>
            </w:r>
            <w:r w:rsidRPr="008565BD">
              <w:rPr>
                <w:rFonts w:ascii="Cambria" w:hAnsi="Cambria"/>
                <w:sz w:val="20"/>
                <w:szCs w:val="20"/>
                <w:highlight w:val="yellow"/>
              </w:rPr>
              <w:t xml:space="preserve">Cuando la casa o apartamento de habitación del contribuyente hubiere sido adquirido con anterioridad al 1o. de enero de 1987, no se causará impuesto de renta ni ganancia ocasional por concepto de su enajenación sobre una parte de la ganancia obtenida, en los porcentajes que se indican a </w:t>
            </w:r>
            <w:proofErr w:type="spellStart"/>
            <w:r w:rsidRPr="008565BD">
              <w:rPr>
                <w:rFonts w:ascii="Cambria" w:hAnsi="Cambria"/>
                <w:sz w:val="20"/>
                <w:szCs w:val="20"/>
                <w:highlight w:val="yellow"/>
              </w:rPr>
              <w:t>continúación</w:t>
            </w:r>
            <w:proofErr w:type="spellEnd"/>
            <w:r w:rsidRPr="008565BD">
              <w:rPr>
                <w:rFonts w:ascii="Cambria" w:hAnsi="Cambria"/>
                <w:sz w:val="20"/>
                <w:szCs w:val="20"/>
                <w:highlight w:val="yellow"/>
              </w:rPr>
              <w:t>:</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10% si fue adquirida durante el año 1986</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20% si fue adquirida durante el año 1985</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30% si fue adquirida durante el año 1984</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40% si fue adquirida durante el año 1983</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50% si fue adquirida durante el año 1982</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60% si fue adquirida durante el año 1981</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70% si fue adquirida durante el año 1980</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80% si fue adquirida durante el año 1979</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90% si fue adquirida durante el año 1978</w:t>
            </w:r>
          </w:p>
          <w:p w:rsidR="008565BD" w:rsidRPr="008565BD" w:rsidRDefault="008565BD" w:rsidP="008565BD">
            <w:pPr>
              <w:jc w:val="both"/>
              <w:rPr>
                <w:rFonts w:ascii="Cambria" w:hAnsi="Cambria"/>
                <w:sz w:val="20"/>
                <w:szCs w:val="20"/>
                <w:highlight w:val="yellow"/>
              </w:rPr>
            </w:pPr>
            <w:r w:rsidRPr="008565BD">
              <w:rPr>
                <w:rFonts w:ascii="Cambria" w:hAnsi="Cambria"/>
                <w:sz w:val="20"/>
                <w:szCs w:val="20"/>
                <w:highlight w:val="yellow"/>
              </w:rPr>
              <w:t>100% si fue adquirida antes del 1o. de enero de 1978.</w:t>
            </w:r>
          </w:p>
          <w:p w:rsidR="000A0845" w:rsidRPr="008565BD" w:rsidRDefault="000A0845" w:rsidP="008565BD">
            <w:pPr>
              <w:jc w:val="both"/>
              <w:rPr>
                <w:rFonts w:ascii="Cambria" w:hAnsi="Cambria" w:cstheme="minorHAnsi"/>
                <w:b/>
                <w:color w:val="000000" w:themeColor="text1"/>
                <w:sz w:val="20"/>
                <w:szCs w:val="20"/>
                <w:highlight w:val="yellow"/>
                <w:lang w:eastAsia="es-CO"/>
              </w:rPr>
            </w:pPr>
          </w:p>
        </w:tc>
        <w:tc>
          <w:tcPr>
            <w:tcW w:w="4865" w:type="dxa"/>
          </w:tcPr>
          <w:p w:rsidR="000A0845" w:rsidRPr="003042D8" w:rsidRDefault="008565BD" w:rsidP="000A0845">
            <w:pPr>
              <w:jc w:val="both"/>
              <w:rPr>
                <w:rFonts w:ascii="Cambria" w:hAnsi="Cambria" w:cstheme="minorHAnsi"/>
                <w:b/>
                <w:color w:val="000000" w:themeColor="text1"/>
                <w:sz w:val="20"/>
                <w:szCs w:val="20"/>
                <w:lang w:eastAsia="es-CO"/>
              </w:rPr>
            </w:pPr>
            <w:r w:rsidRPr="008565BD">
              <w:rPr>
                <w:rFonts w:ascii="Cambria" w:hAnsi="Cambria"/>
                <w:color w:val="FF0000"/>
                <w:sz w:val="20"/>
                <w:szCs w:val="20"/>
                <w:lang w:val="es-ES"/>
              </w:rPr>
              <w:t xml:space="preserve">Derogado con art. 95 </w:t>
            </w:r>
            <w:r w:rsidR="00FB60A2">
              <w:rPr>
                <w:rFonts w:ascii="Cambria" w:hAnsi="Cambria"/>
                <w:color w:val="FF0000"/>
                <w:sz w:val="20"/>
                <w:szCs w:val="20"/>
                <w:lang w:val="es-ES"/>
              </w:rPr>
              <w:t>proyecto de Ley de septiembre de 2025</w:t>
            </w:r>
          </w:p>
        </w:tc>
      </w:tr>
      <w:tr w:rsidR="005635C7" w:rsidTr="0059378C">
        <w:tc>
          <w:tcPr>
            <w:tcW w:w="4958" w:type="dxa"/>
          </w:tcPr>
          <w:p w:rsidR="005635C7" w:rsidRPr="008565BD" w:rsidRDefault="005635C7" w:rsidP="005635C7">
            <w:pPr>
              <w:jc w:val="both"/>
              <w:rPr>
                <w:rFonts w:ascii="Cambria" w:hAnsi="Cambria"/>
                <w:sz w:val="20"/>
                <w:szCs w:val="20"/>
              </w:rPr>
            </w:pPr>
            <w:bookmarkStart w:id="5" w:name="74-1"/>
            <w:r w:rsidRPr="008565BD">
              <w:rPr>
                <w:rFonts w:ascii="Cambria" w:hAnsi="Cambria"/>
                <w:b/>
                <w:bCs/>
                <w:color w:val="000000" w:themeColor="text1"/>
                <w:sz w:val="20"/>
                <w:szCs w:val="20"/>
              </w:rPr>
              <w:t>Artículo 74-1. Costo fiscal de las inversiones.</w:t>
            </w:r>
            <w:bookmarkEnd w:id="5"/>
            <w:r w:rsidRPr="008565BD">
              <w:rPr>
                <w:rFonts w:ascii="Cambria" w:hAnsi="Cambria"/>
                <w:color w:val="000000" w:themeColor="text1"/>
                <w:sz w:val="20"/>
                <w:szCs w:val="20"/>
              </w:rPr>
              <w:t> </w:t>
            </w:r>
            <w:r w:rsidRPr="008565BD">
              <w:rPr>
                <w:rFonts w:ascii="Cambria" w:hAnsi="Cambria"/>
                <w:sz w:val="20"/>
                <w:szCs w:val="20"/>
              </w:rPr>
              <w:t xml:space="preserve"> Para efectos del impuesto sobre la renta y complementarios, el costo fiscal de las siguientes inversiones será:</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1. De los gastos pagados por anticipado, el costo fiscal corresponde a los desembolsos efectuados por el contribuyente, los cuales deberán ser capitalizados de conformidad con la técnica contable y amortizados cuando se reciban los servicios o se devenguen los costos o gastos, según el caso.</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2. De los gastos de establecimiento, el costo fiscal corresponde a los gastos realizados de puesta en marcha de operaciones, tales como costos de inicio de actividades, costos de preapertura, costos previos a la operación, entre otros, los cuales serán capitalizados.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A todos los desembolsos de establecimiento acumulados, se les permitirá su deducción fiscal a partir de la generación de rentas.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3. De los gastos de investigación, desarrollo e innovación, el costo fiscal está constituido por todas las erogaciones asociadas al proyecto de investigación, desarrollo e innovación, salvo las asociadas con la adquisición de edificios y terrenos.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Se encuentran dentro de este concepto los activos desarrollados en la elaboración de software para su uso, venta o derechos de explotación.</w:t>
            </w:r>
          </w:p>
          <w:p w:rsidR="005635C7" w:rsidRPr="008565BD" w:rsidRDefault="005635C7" w:rsidP="005635C7">
            <w:pPr>
              <w:jc w:val="both"/>
              <w:rPr>
                <w:rFonts w:ascii="Cambria" w:hAnsi="Cambria"/>
                <w:sz w:val="20"/>
                <w:szCs w:val="20"/>
              </w:rPr>
            </w:pPr>
            <w:r w:rsidRPr="008565BD">
              <w:rPr>
                <w:rFonts w:ascii="Cambria" w:hAnsi="Cambria"/>
                <w:sz w:val="20"/>
                <w:szCs w:val="20"/>
              </w:rPr>
              <w:t>El régimen aquí previsto no será aplicable para aquellos proyectos de investigación, desarrollo e innovación que opten por lo previsto en el artículo </w:t>
            </w:r>
            <w:hyperlink r:id="rId11" w:anchor="158-1" w:history="1">
              <w:r w:rsidRPr="008565BD">
                <w:rPr>
                  <w:rStyle w:val="Hipervnculo"/>
                  <w:rFonts w:ascii="Cambria" w:hAnsi="Cambria"/>
                  <w:color w:val="00A9E0"/>
                  <w:spacing w:val="2"/>
                  <w:sz w:val="20"/>
                  <w:szCs w:val="20"/>
                </w:rPr>
                <w:t>158-1</w:t>
              </w:r>
            </w:hyperlink>
            <w:r w:rsidRPr="008565BD">
              <w:rPr>
                <w:rFonts w:ascii="Cambria" w:hAnsi="Cambria"/>
                <w:sz w:val="20"/>
                <w:szCs w:val="20"/>
              </w:rPr>
              <w:t> y </w:t>
            </w:r>
            <w:hyperlink r:id="rId12" w:anchor="256" w:history="1">
              <w:r w:rsidRPr="008565BD">
                <w:rPr>
                  <w:rStyle w:val="Hipervnculo"/>
                  <w:rFonts w:ascii="Cambria" w:hAnsi="Cambria"/>
                  <w:color w:val="00A9E0"/>
                  <w:spacing w:val="2"/>
                  <w:sz w:val="20"/>
                  <w:szCs w:val="20"/>
                </w:rPr>
                <w:t>256</w:t>
              </w:r>
            </w:hyperlink>
            <w:r w:rsidRPr="008565BD">
              <w:rPr>
                <w:rFonts w:ascii="Cambria" w:hAnsi="Cambria"/>
                <w:sz w:val="20"/>
                <w:szCs w:val="20"/>
              </w:rPr>
              <w:t> del Estatuto Tributario.</w:t>
            </w:r>
          </w:p>
          <w:p w:rsidR="005635C7" w:rsidRPr="008565BD" w:rsidRDefault="005635C7" w:rsidP="005635C7">
            <w:pPr>
              <w:jc w:val="both"/>
              <w:rPr>
                <w:rFonts w:ascii="Cambria" w:hAnsi="Cambria" w:cstheme="minorHAnsi"/>
                <w:b/>
                <w:color w:val="000000" w:themeColor="text1"/>
                <w:sz w:val="20"/>
                <w:szCs w:val="20"/>
                <w:lang w:eastAsia="es-CO"/>
              </w:rPr>
            </w:pPr>
          </w:p>
          <w:p w:rsidR="005635C7" w:rsidRPr="008565BD" w:rsidRDefault="005635C7" w:rsidP="005635C7">
            <w:pPr>
              <w:jc w:val="both"/>
              <w:rPr>
                <w:rFonts w:ascii="Cambria" w:hAnsi="Cambria"/>
                <w:sz w:val="20"/>
                <w:szCs w:val="20"/>
              </w:rPr>
            </w:pPr>
            <w:r w:rsidRPr="008565BD">
              <w:rPr>
                <w:rFonts w:ascii="Cambria" w:hAnsi="Cambria"/>
                <w:sz w:val="20"/>
                <w:szCs w:val="20"/>
              </w:rPr>
              <w:t>4. En la evaluación y exploración de recursos naturales no renovables, el costo fiscal capitalizable corresponderá a los siguientes rubros: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a) Adquisición de derechos de exploración;</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b) Estudios sísmicos, topográficos, geológicos, geoquímicos y geofísicos, siempre que se vinculen a un hallazgo del recurso natural no renovable;</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c) Perforaciones exploratorias;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d) Excavaciones de zanjas, trincheras, apiques, túneles exploratorios, canteras, socavones y similares;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e) Toma de muestras;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f) Actividades relacionadas con la evaluación de la viabilidad comercial de la extracción de un recurso natural; y</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g) Costos y gastos laborales y depreciaciones, según el caso considerando las limitaciones establecidas en este estatuto;</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h) Otros costos, gastos y adquisiciones necesarias en esta etapa de evaluación y exploración de recursos naturales no renovables que sean susceptibles de ser capitalizados de conformidad con la técnica contable, diferentes a los mencionados en este artículo.</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La capitalización de que trata este numeral cesará luego de que se efectúe la factibilidad técnica y viabilidad comercial de extraer el recurso natural no renovable, de acuerdo con lo establecido contractualmente. Los terrenos serán capitalizables y amortizables únicamente cuando exista la obligación de revertirlos a la nación.</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Los costos y gastos a los que se refiere este numeral no serán aplicables a los desembolsos incurridos antes de obtener los derechos económicos de exploración.</w:t>
            </w:r>
          </w:p>
          <w:p w:rsidR="005635C7" w:rsidRPr="008565BD" w:rsidRDefault="005635C7" w:rsidP="005635C7">
            <w:pPr>
              <w:jc w:val="both"/>
              <w:rPr>
                <w:rFonts w:ascii="Cambria" w:hAnsi="Cambria"/>
                <w:sz w:val="20"/>
                <w:szCs w:val="20"/>
              </w:rPr>
            </w:pPr>
            <w:r w:rsidRPr="008565BD">
              <w:rPr>
                <w:rFonts w:ascii="Cambria" w:hAnsi="Cambria"/>
                <w:sz w:val="20"/>
                <w:szCs w:val="20"/>
              </w:rPr>
              <w:t>Cuando estos activos se enajenen, el costo de enajenación de los mismos será el determinado de conformidad con este numeral menos, cuando fuere el caso, la amortización, siempre y cuando haya sido deducida para fines fiscales.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5. Instrumentos financieros.</w:t>
            </w:r>
          </w:p>
          <w:p w:rsidR="005635C7" w:rsidRPr="008565BD" w:rsidRDefault="005635C7" w:rsidP="005635C7">
            <w:pPr>
              <w:jc w:val="both"/>
              <w:rPr>
                <w:rFonts w:ascii="Cambria" w:hAnsi="Cambria"/>
                <w:sz w:val="20"/>
                <w:szCs w:val="20"/>
              </w:rPr>
            </w:pPr>
          </w:p>
          <w:p w:rsidR="005635C7" w:rsidRPr="008565BD" w:rsidRDefault="005635C7" w:rsidP="005635C7">
            <w:pPr>
              <w:jc w:val="both"/>
              <w:rPr>
                <w:rFonts w:ascii="Cambria" w:hAnsi="Cambria"/>
                <w:sz w:val="20"/>
                <w:szCs w:val="20"/>
              </w:rPr>
            </w:pPr>
            <w:r w:rsidRPr="008565BD">
              <w:rPr>
                <w:rFonts w:ascii="Cambria" w:hAnsi="Cambria"/>
                <w:sz w:val="20"/>
                <w:szCs w:val="20"/>
              </w:rPr>
              <w:t>a) Títulos de renta variable. El costo fiscal de estos instrumentos será el valor pagado en la adquisición;</w:t>
            </w:r>
          </w:p>
          <w:p w:rsidR="005635C7" w:rsidRPr="008565BD" w:rsidRDefault="005635C7" w:rsidP="005635C7">
            <w:pPr>
              <w:jc w:val="both"/>
              <w:rPr>
                <w:rFonts w:ascii="Cambria" w:hAnsi="Cambria"/>
                <w:sz w:val="20"/>
                <w:szCs w:val="20"/>
                <w:shd w:val="clear" w:color="auto" w:fill="FFFFFF"/>
              </w:rPr>
            </w:pPr>
          </w:p>
          <w:p w:rsidR="005635C7" w:rsidRPr="008565BD" w:rsidRDefault="005635C7" w:rsidP="005635C7">
            <w:pPr>
              <w:jc w:val="both"/>
              <w:rPr>
                <w:rFonts w:ascii="Cambria" w:hAnsi="Cambria"/>
                <w:sz w:val="20"/>
                <w:szCs w:val="20"/>
                <w:shd w:val="clear" w:color="auto" w:fill="FFFFFF"/>
              </w:rPr>
            </w:pPr>
            <w:r w:rsidRPr="008565BD">
              <w:rPr>
                <w:rFonts w:ascii="Cambria" w:hAnsi="Cambria"/>
                <w:sz w:val="20"/>
                <w:szCs w:val="20"/>
                <w:shd w:val="clear" w:color="auto" w:fill="FFFFFF"/>
              </w:rPr>
              <w:lastRenderedPageBreak/>
              <w:t>b) Títulos de renta fija. El costo fiscal de estos instrumentos será el valor pagado en la adquisición más los intereses realizados linealmente y no pagados a la tasa facial, desde la fecha de adquisición o la última fecha de pago hasta la fecha de enajenación.</w:t>
            </w:r>
          </w:p>
          <w:p w:rsidR="005635C7" w:rsidRPr="008565BD" w:rsidRDefault="005635C7" w:rsidP="005635C7">
            <w:pPr>
              <w:jc w:val="both"/>
              <w:rPr>
                <w:rFonts w:ascii="Cambria" w:hAnsi="Cambria" w:cstheme="minorHAnsi"/>
                <w:b/>
                <w:sz w:val="20"/>
                <w:szCs w:val="20"/>
                <w:shd w:val="clear" w:color="auto" w:fill="FFFFFF"/>
                <w:lang w:eastAsia="es-CO"/>
              </w:rPr>
            </w:pPr>
          </w:p>
          <w:p w:rsidR="005635C7" w:rsidRPr="008565BD" w:rsidRDefault="005635C7" w:rsidP="005635C7">
            <w:pPr>
              <w:jc w:val="both"/>
              <w:rPr>
                <w:rFonts w:ascii="Cambria" w:hAnsi="Cambria"/>
                <w:sz w:val="20"/>
                <w:szCs w:val="20"/>
              </w:rPr>
            </w:pPr>
            <w:r w:rsidRPr="008565BD">
              <w:rPr>
                <w:rFonts w:ascii="Cambria" w:hAnsi="Cambria"/>
                <w:sz w:val="20"/>
                <w:szCs w:val="20"/>
              </w:rPr>
              <w:t>6. Acciones, cuotas o partes de interés social. El costo fiscal de las inversiones, por los conceptos mencionados, está constituido por el valor de adquisición.</w:t>
            </w: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Default="005635C7" w:rsidP="005635C7">
            <w:pPr>
              <w:jc w:val="both"/>
              <w:rPr>
                <w:rStyle w:val="baj"/>
                <w:rFonts w:ascii="Cambria" w:hAnsi="Cambria"/>
                <w:b/>
                <w:bCs/>
                <w:color w:val="343536"/>
                <w:spacing w:val="2"/>
                <w:sz w:val="20"/>
                <w:szCs w:val="20"/>
              </w:rPr>
            </w:pPr>
          </w:p>
          <w:p w:rsidR="00D87E48" w:rsidRDefault="00D87E48" w:rsidP="005635C7">
            <w:pPr>
              <w:jc w:val="both"/>
              <w:rPr>
                <w:rStyle w:val="baj"/>
                <w:rFonts w:ascii="Cambria" w:hAnsi="Cambria"/>
                <w:b/>
                <w:bCs/>
                <w:color w:val="343536"/>
                <w:spacing w:val="2"/>
                <w:sz w:val="20"/>
                <w:szCs w:val="20"/>
              </w:rPr>
            </w:pPr>
          </w:p>
          <w:p w:rsidR="00D87E48" w:rsidRPr="008565BD" w:rsidRDefault="00D87E48" w:rsidP="005635C7">
            <w:pPr>
              <w:jc w:val="both"/>
              <w:rPr>
                <w:rStyle w:val="baj"/>
                <w:rFonts w:ascii="Cambria" w:hAnsi="Cambria"/>
                <w:b/>
                <w:bCs/>
                <w:color w:val="343536"/>
                <w:spacing w:val="2"/>
                <w:sz w:val="20"/>
                <w:szCs w:val="20"/>
              </w:rPr>
            </w:pPr>
          </w:p>
          <w:p w:rsidR="005635C7" w:rsidRPr="008565BD" w:rsidRDefault="005635C7" w:rsidP="005635C7">
            <w:pPr>
              <w:jc w:val="both"/>
              <w:rPr>
                <w:rStyle w:val="baj"/>
                <w:rFonts w:ascii="Cambria" w:hAnsi="Cambria"/>
                <w:b/>
                <w:bCs/>
                <w:color w:val="343536"/>
                <w:spacing w:val="2"/>
                <w:sz w:val="20"/>
                <w:szCs w:val="20"/>
              </w:rPr>
            </w:pPr>
          </w:p>
          <w:p w:rsidR="005635C7" w:rsidRPr="008565BD" w:rsidRDefault="005635C7" w:rsidP="005635C7">
            <w:pPr>
              <w:jc w:val="both"/>
              <w:rPr>
                <w:rFonts w:ascii="Cambria" w:hAnsi="Cambria"/>
                <w:sz w:val="20"/>
                <w:szCs w:val="20"/>
              </w:rPr>
            </w:pPr>
            <w:r w:rsidRPr="008565BD">
              <w:rPr>
                <w:rStyle w:val="baj"/>
                <w:rFonts w:ascii="Cambria" w:hAnsi="Cambria"/>
                <w:b/>
                <w:bCs/>
                <w:color w:val="343536"/>
                <w:spacing w:val="2"/>
                <w:sz w:val="20"/>
                <w:szCs w:val="20"/>
              </w:rPr>
              <w:t>PARÁGRAFO. </w:t>
            </w:r>
            <w:r w:rsidRPr="008565BD">
              <w:rPr>
                <w:rFonts w:ascii="Cambria" w:hAnsi="Cambria"/>
                <w:sz w:val="20"/>
                <w:szCs w:val="20"/>
              </w:rPr>
              <w:t>Para efectos de lo previsto en el numeral 3 de este artículo, las definiciones de investigación, desarrollo e innovación serán las mismas aplicadas para efectos del artículo </w:t>
            </w:r>
            <w:hyperlink r:id="rId13" w:anchor="256" w:history="1">
              <w:r w:rsidRPr="008565BD">
                <w:rPr>
                  <w:rStyle w:val="Hipervnculo"/>
                  <w:rFonts w:ascii="Cambria" w:hAnsi="Cambria"/>
                  <w:color w:val="00A9E0"/>
                  <w:spacing w:val="2"/>
                  <w:sz w:val="20"/>
                  <w:szCs w:val="20"/>
                </w:rPr>
                <w:t>256</w:t>
              </w:r>
            </w:hyperlink>
            <w:r w:rsidRPr="008565BD">
              <w:rPr>
                <w:rFonts w:ascii="Cambria" w:hAnsi="Cambria"/>
                <w:sz w:val="20"/>
                <w:szCs w:val="20"/>
              </w:rPr>
              <w:t> del Estatuto Tributario.</w:t>
            </w:r>
          </w:p>
          <w:p w:rsidR="005635C7" w:rsidRPr="008565BD" w:rsidRDefault="005635C7" w:rsidP="005635C7">
            <w:pPr>
              <w:jc w:val="both"/>
              <w:rPr>
                <w:rFonts w:ascii="Cambria" w:hAnsi="Cambria" w:cstheme="minorHAnsi"/>
                <w:b/>
                <w:color w:val="000000" w:themeColor="text1"/>
                <w:sz w:val="20"/>
                <w:szCs w:val="20"/>
                <w:lang w:eastAsia="es-CO"/>
              </w:rPr>
            </w:pPr>
          </w:p>
        </w:tc>
        <w:tc>
          <w:tcPr>
            <w:tcW w:w="4865" w:type="dxa"/>
          </w:tcPr>
          <w:p w:rsidR="005635C7" w:rsidRPr="005635C7" w:rsidRDefault="005635C7" w:rsidP="005635C7">
            <w:pPr>
              <w:jc w:val="both"/>
              <w:rPr>
                <w:rFonts w:ascii="Cambria" w:hAnsi="Cambria"/>
                <w:sz w:val="20"/>
                <w:szCs w:val="20"/>
              </w:rPr>
            </w:pPr>
            <w:r w:rsidRPr="005635C7">
              <w:rPr>
                <w:rFonts w:ascii="Cambria" w:hAnsi="Cambria"/>
                <w:b/>
                <w:bCs/>
                <w:color w:val="000000" w:themeColor="text1"/>
                <w:sz w:val="20"/>
                <w:szCs w:val="20"/>
              </w:rPr>
              <w:lastRenderedPageBreak/>
              <w:t>Artículo 74-1. Costo fiscal de las inversiones</w:t>
            </w:r>
            <w:r>
              <w:rPr>
                <w:rFonts w:ascii="Cambria" w:hAnsi="Cambria"/>
                <w:b/>
                <w:bCs/>
                <w:color w:val="000000" w:themeColor="text1"/>
                <w:sz w:val="20"/>
                <w:szCs w:val="20"/>
              </w:rPr>
              <w:t xml:space="preserve"> </w:t>
            </w:r>
            <w:r w:rsidRPr="005635C7">
              <w:rPr>
                <w:rFonts w:ascii="Cambria" w:hAnsi="Cambria"/>
                <w:b/>
                <w:bCs/>
                <w:color w:val="FF0000"/>
                <w:sz w:val="20"/>
                <w:szCs w:val="20"/>
              </w:rPr>
              <w:t xml:space="preserve">(modificado con artículo 47 </w:t>
            </w:r>
            <w:r w:rsidR="00FB60A2">
              <w:rPr>
                <w:rFonts w:ascii="Cambria" w:hAnsi="Cambria"/>
                <w:b/>
                <w:bCs/>
                <w:color w:val="FF0000"/>
                <w:sz w:val="20"/>
                <w:szCs w:val="20"/>
              </w:rPr>
              <w:t>proyecto de Ley de septiembre de 2025</w:t>
            </w:r>
            <w:r w:rsidRPr="005635C7">
              <w:rPr>
                <w:rFonts w:ascii="Cambria" w:hAnsi="Cambria"/>
                <w:b/>
                <w:bCs/>
                <w:color w:val="FF0000"/>
                <w:sz w:val="20"/>
                <w:szCs w:val="20"/>
              </w:rPr>
              <w:t>).</w:t>
            </w:r>
            <w:r w:rsidRPr="005635C7">
              <w:rPr>
                <w:rFonts w:ascii="Cambria" w:hAnsi="Cambria"/>
                <w:color w:val="FF0000"/>
                <w:sz w:val="20"/>
                <w:szCs w:val="20"/>
              </w:rPr>
              <w:t xml:space="preserve">  </w:t>
            </w:r>
            <w:r w:rsidRPr="005635C7">
              <w:rPr>
                <w:rFonts w:ascii="Cambria" w:hAnsi="Cambria"/>
                <w:sz w:val="20"/>
                <w:szCs w:val="20"/>
              </w:rPr>
              <w:t>Para efectos del impuesto sobre la renta y complementarios, el costo fiscal de las siguientes inversiones será:</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1. De los gastos pagados por anticipado, el costo fiscal corresponde a los desembolsos efectuados por el contribuyente, los cuales deberán ser capitalizados de conformidad con la técnica contable y amortizados cuando se reciban los servicios o se devenguen los costos o gastos, según el caso.</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2. De los gastos de establecimiento, el costo fiscal corresponde a los gastos realizados de puesta en marcha de operaciones, tales como costos de inicio de actividades, costos de preapertura, costos previos a la operación, entre otros, los cuales serán capitalizados.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A todos los desembolsos de establecimiento acumulados, se les permitirá su deducción fiscal a partir de la generación de rentas.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3. De los gastos de investigación, desarrollo e innovación, el costo fiscal está constituido por todas las erogaciones asociadas al proyecto de investigación, desarrollo e innovación, salvo las asociadas con la adquisición de edificios y terrenos.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Se encuentran dentro de este concepto los activos desarrollados en la elaboración de software para su uso, venta o derechos de explotación.</w:t>
            </w:r>
          </w:p>
          <w:p w:rsidR="005635C7" w:rsidRPr="005635C7" w:rsidRDefault="005635C7" w:rsidP="005635C7">
            <w:pPr>
              <w:jc w:val="both"/>
              <w:rPr>
                <w:rFonts w:ascii="Cambria" w:hAnsi="Cambria"/>
                <w:sz w:val="20"/>
                <w:szCs w:val="20"/>
              </w:rPr>
            </w:pPr>
            <w:r w:rsidRPr="005635C7">
              <w:rPr>
                <w:rFonts w:ascii="Cambria" w:hAnsi="Cambria"/>
                <w:sz w:val="20"/>
                <w:szCs w:val="20"/>
              </w:rPr>
              <w:t xml:space="preserve">El régimen aquí previsto no será aplicable para aquellos proyectos de investigación, desarrollo e </w:t>
            </w:r>
            <w:r w:rsidRPr="005635C7">
              <w:rPr>
                <w:rFonts w:ascii="Cambria" w:hAnsi="Cambria"/>
                <w:sz w:val="20"/>
                <w:szCs w:val="20"/>
              </w:rPr>
              <w:lastRenderedPageBreak/>
              <w:t>innovación que opten por lo previsto en el artículo </w:t>
            </w:r>
            <w:hyperlink r:id="rId14" w:anchor="158-1" w:history="1">
              <w:r w:rsidRPr="005635C7">
                <w:rPr>
                  <w:rStyle w:val="Hipervnculo"/>
                  <w:rFonts w:ascii="Cambria" w:hAnsi="Cambria"/>
                  <w:color w:val="00A9E0"/>
                  <w:spacing w:val="2"/>
                  <w:sz w:val="20"/>
                  <w:szCs w:val="20"/>
                </w:rPr>
                <w:t>158-1</w:t>
              </w:r>
            </w:hyperlink>
            <w:r w:rsidRPr="005635C7">
              <w:rPr>
                <w:rFonts w:ascii="Cambria" w:hAnsi="Cambria"/>
                <w:sz w:val="20"/>
                <w:szCs w:val="20"/>
              </w:rPr>
              <w:t> y </w:t>
            </w:r>
            <w:hyperlink r:id="rId15" w:anchor="256" w:history="1">
              <w:r w:rsidRPr="005635C7">
                <w:rPr>
                  <w:rStyle w:val="Hipervnculo"/>
                  <w:rFonts w:ascii="Cambria" w:hAnsi="Cambria"/>
                  <w:color w:val="00A9E0"/>
                  <w:spacing w:val="2"/>
                  <w:sz w:val="20"/>
                  <w:szCs w:val="20"/>
                </w:rPr>
                <w:t>256</w:t>
              </w:r>
            </w:hyperlink>
            <w:r w:rsidRPr="005635C7">
              <w:rPr>
                <w:rFonts w:ascii="Cambria" w:hAnsi="Cambria"/>
                <w:sz w:val="20"/>
                <w:szCs w:val="20"/>
              </w:rPr>
              <w:t> del Estatuto Tributario.</w:t>
            </w:r>
          </w:p>
          <w:p w:rsidR="005635C7" w:rsidRPr="005635C7" w:rsidRDefault="005635C7" w:rsidP="005635C7">
            <w:pPr>
              <w:jc w:val="both"/>
              <w:rPr>
                <w:rFonts w:ascii="Cambria" w:hAnsi="Cambria" w:cstheme="minorHAnsi"/>
                <w:b/>
                <w:color w:val="000000" w:themeColor="text1"/>
                <w:sz w:val="20"/>
                <w:szCs w:val="20"/>
                <w:lang w:eastAsia="es-CO"/>
              </w:rPr>
            </w:pPr>
          </w:p>
          <w:p w:rsidR="005635C7" w:rsidRPr="005635C7" w:rsidRDefault="005635C7" w:rsidP="005635C7">
            <w:pPr>
              <w:jc w:val="both"/>
              <w:rPr>
                <w:rFonts w:ascii="Cambria" w:hAnsi="Cambria"/>
                <w:sz w:val="20"/>
                <w:szCs w:val="20"/>
              </w:rPr>
            </w:pPr>
            <w:r w:rsidRPr="005635C7">
              <w:rPr>
                <w:rFonts w:ascii="Cambria" w:hAnsi="Cambria"/>
                <w:sz w:val="20"/>
                <w:szCs w:val="20"/>
              </w:rPr>
              <w:t>4. En la evaluación y exploración de recursos naturales no renovables, el costo fiscal capitalizable corresponderá a los siguientes rubros: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a) Adquisición de derechos de exploración;</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b) Estudios sísmicos, topográficos, geológicos, geoquímicos y geofísicos, siempre que se vinculen a un hallazgo del recurso natural no renovable;</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c) Perforaciones exploratorias;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d) Excavaciones de zanjas, trincheras, apiques, túneles exploratorios, canteras, socavones y similares;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e) Toma de muestras;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f) Actividades relacionadas con la evaluación de la viabilidad comercial de la extracción de un recurso natural; y</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g) Costos y gastos laborales y depreciaciones, según el caso considerando las limitaciones establecidas en este estatuto;</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h) Otros costos, gastos y adquisiciones necesarias en esta etapa de evaluación y exploración de recursos naturales no renovables que sean susceptibles de ser capitalizados de conformidad con la técnica contable, diferentes a los mencionados en este artículo.</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La capitalización de que trata este numeral cesará luego de que se efectúe la factibilidad técnica y viabilidad comercial de extraer el recurso natural no renovable, de acuerdo con lo establecido contractualmente. Los terrenos serán capitalizables y amortizables únicamente cuando exista la obligación de revertirlos a la nación.</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Los costos y gastos a los que se refiere este numeral no serán aplicables a los desembolsos incurridos antes de obtener los derechos económicos de exploración.</w:t>
            </w:r>
          </w:p>
          <w:p w:rsidR="005635C7" w:rsidRPr="005635C7" w:rsidRDefault="005635C7" w:rsidP="005635C7">
            <w:pPr>
              <w:jc w:val="both"/>
              <w:rPr>
                <w:rFonts w:ascii="Cambria" w:hAnsi="Cambria"/>
                <w:sz w:val="20"/>
                <w:szCs w:val="20"/>
              </w:rPr>
            </w:pPr>
            <w:r w:rsidRPr="005635C7">
              <w:rPr>
                <w:rFonts w:ascii="Cambria" w:hAnsi="Cambria"/>
                <w:sz w:val="20"/>
                <w:szCs w:val="20"/>
              </w:rPr>
              <w:t>Cuando estos activos se enajenen, el costo de enajenación de los mismos será el determinado de conformidad con este numeral menos, cuando fuere el caso, la amortización, siempre y cuando haya sido deducida para fines fiscales.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t>5. Instrumentos financieros.</w:t>
            </w:r>
          </w:p>
          <w:p w:rsidR="005635C7" w:rsidRDefault="005635C7" w:rsidP="005635C7">
            <w:pPr>
              <w:jc w:val="both"/>
              <w:rPr>
                <w:rFonts w:ascii="Cambria" w:hAnsi="Cambria"/>
                <w:sz w:val="20"/>
                <w:szCs w:val="20"/>
              </w:rPr>
            </w:pPr>
          </w:p>
          <w:p w:rsidR="005635C7" w:rsidRPr="005635C7" w:rsidRDefault="005635C7" w:rsidP="005635C7">
            <w:pPr>
              <w:jc w:val="both"/>
              <w:rPr>
                <w:rFonts w:ascii="Cambria" w:hAnsi="Cambria"/>
                <w:sz w:val="20"/>
                <w:szCs w:val="20"/>
              </w:rPr>
            </w:pPr>
            <w:r w:rsidRPr="005635C7">
              <w:rPr>
                <w:rFonts w:ascii="Cambria" w:hAnsi="Cambria"/>
                <w:sz w:val="20"/>
                <w:szCs w:val="20"/>
              </w:rPr>
              <w:lastRenderedPageBreak/>
              <w:t>a) Títulos de renta variable. El costo fiscal de estos instrumentos será el valor pagado en la adquisición;</w:t>
            </w:r>
          </w:p>
          <w:p w:rsidR="005635C7" w:rsidRDefault="005635C7" w:rsidP="005635C7">
            <w:pPr>
              <w:jc w:val="both"/>
              <w:rPr>
                <w:rFonts w:ascii="Cambria" w:hAnsi="Cambria"/>
                <w:sz w:val="20"/>
                <w:szCs w:val="20"/>
                <w:shd w:val="clear" w:color="auto" w:fill="FFFFFF"/>
              </w:rPr>
            </w:pPr>
          </w:p>
          <w:p w:rsidR="005635C7" w:rsidRPr="005635C7" w:rsidRDefault="005635C7" w:rsidP="005635C7">
            <w:pPr>
              <w:jc w:val="both"/>
              <w:rPr>
                <w:rFonts w:ascii="Cambria" w:hAnsi="Cambria"/>
                <w:sz w:val="20"/>
                <w:szCs w:val="20"/>
                <w:shd w:val="clear" w:color="auto" w:fill="FFFFFF"/>
              </w:rPr>
            </w:pPr>
            <w:r w:rsidRPr="005635C7">
              <w:rPr>
                <w:rFonts w:ascii="Cambria" w:hAnsi="Cambria"/>
                <w:sz w:val="20"/>
                <w:szCs w:val="20"/>
                <w:shd w:val="clear" w:color="auto" w:fill="FFFFFF"/>
              </w:rPr>
              <w:t>b) Títulos de renta fija. El costo fiscal de estos instrumentos será el valor pagado en la adquisición más los intereses realizados linealmente y no pagados a la tasa facial, desde la fecha de adquisición o la última fecha de pago hasta la fecha de enajenación.</w:t>
            </w:r>
          </w:p>
          <w:p w:rsidR="005635C7" w:rsidRPr="005635C7" w:rsidRDefault="005635C7" w:rsidP="005635C7">
            <w:pPr>
              <w:jc w:val="both"/>
              <w:rPr>
                <w:rFonts w:ascii="Cambria" w:hAnsi="Cambria" w:cstheme="minorHAnsi"/>
                <w:b/>
                <w:sz w:val="20"/>
                <w:szCs w:val="20"/>
                <w:shd w:val="clear" w:color="auto" w:fill="FFFFFF"/>
                <w:lang w:eastAsia="es-CO"/>
              </w:rPr>
            </w:pPr>
          </w:p>
          <w:p w:rsidR="005635C7" w:rsidRPr="005635C7" w:rsidRDefault="005635C7" w:rsidP="005635C7">
            <w:pPr>
              <w:jc w:val="both"/>
              <w:rPr>
                <w:rFonts w:ascii="Cambria" w:hAnsi="Cambria"/>
                <w:sz w:val="20"/>
                <w:szCs w:val="20"/>
              </w:rPr>
            </w:pPr>
            <w:r w:rsidRPr="005635C7">
              <w:rPr>
                <w:rFonts w:ascii="Cambria" w:hAnsi="Cambria"/>
                <w:sz w:val="20"/>
                <w:szCs w:val="20"/>
              </w:rPr>
              <w:t>6. Acciones, cuotas o partes de interés social. El costo fiscal de las inversiones, por los conceptos mencionados, está constituido por el valor de adquisición.</w:t>
            </w:r>
          </w:p>
          <w:p w:rsidR="005635C7" w:rsidRDefault="005635C7" w:rsidP="005635C7">
            <w:pPr>
              <w:jc w:val="both"/>
              <w:rPr>
                <w:rStyle w:val="baj"/>
                <w:rFonts w:ascii="Cambria" w:hAnsi="Cambria"/>
                <w:b/>
                <w:bCs/>
                <w:color w:val="343536"/>
                <w:spacing w:val="2"/>
                <w:sz w:val="20"/>
                <w:szCs w:val="20"/>
              </w:rPr>
            </w:pPr>
          </w:p>
          <w:p w:rsidR="005635C7" w:rsidRPr="005635C7" w:rsidRDefault="005635C7" w:rsidP="005635C7">
            <w:pPr>
              <w:jc w:val="both"/>
              <w:rPr>
                <w:rFonts w:ascii="Cambria" w:hAnsi="Cambria"/>
                <w:sz w:val="20"/>
                <w:szCs w:val="20"/>
                <w:highlight w:val="yellow"/>
              </w:rPr>
            </w:pPr>
            <w:r w:rsidRPr="005635C7">
              <w:rPr>
                <w:rFonts w:ascii="Cambria" w:hAnsi="Cambria"/>
                <w:sz w:val="20"/>
                <w:szCs w:val="20"/>
                <w:highlight w:val="yellow"/>
              </w:rPr>
              <w:t xml:space="preserve">7. Activos digitales. El costo fiscal corresponde al valor de adquisición del activo digital. Cuando el activo digital sea desarrollado por el mismo contribuyente, su costo fiscal corresponde a todas las erogaciones asociadas al activo hasta que se encuentre disponible para su venta. </w:t>
            </w:r>
          </w:p>
          <w:p w:rsidR="005635C7" w:rsidRDefault="005635C7" w:rsidP="005635C7">
            <w:pPr>
              <w:jc w:val="both"/>
              <w:rPr>
                <w:rFonts w:ascii="Cambria" w:hAnsi="Cambria"/>
                <w:sz w:val="20"/>
                <w:szCs w:val="20"/>
                <w:highlight w:val="yellow"/>
              </w:rPr>
            </w:pPr>
          </w:p>
          <w:p w:rsidR="005635C7" w:rsidRPr="005635C7" w:rsidRDefault="005635C7" w:rsidP="005635C7">
            <w:pPr>
              <w:jc w:val="both"/>
              <w:rPr>
                <w:rStyle w:val="baj"/>
                <w:rFonts w:ascii="Cambria" w:hAnsi="Cambria"/>
                <w:b/>
                <w:bCs/>
                <w:color w:val="343536"/>
                <w:spacing w:val="2"/>
                <w:sz w:val="20"/>
                <w:szCs w:val="20"/>
              </w:rPr>
            </w:pPr>
            <w:r w:rsidRPr="005635C7">
              <w:rPr>
                <w:rFonts w:ascii="Cambria" w:hAnsi="Cambria"/>
                <w:sz w:val="20"/>
                <w:szCs w:val="20"/>
                <w:highlight w:val="yellow"/>
              </w:rPr>
              <w:t xml:space="preserve">Cuando el contribuyente enajene varios activos digitales fungibles, cuyos costos fueren diferentes, deberá tomar como costo de enajenación el promedio de tales costos. Se entenderá que los activos digitales son fungibles cuando los mismos son intercambiables entre sí. Podrán considerarse como fungibles los activos digitales que se encuentren acuñados bajo la misma denominación o se originen en el mismo evento y/o </w:t>
            </w:r>
            <w:proofErr w:type="spellStart"/>
            <w:r w:rsidRPr="005635C7">
              <w:rPr>
                <w:rFonts w:ascii="Cambria" w:hAnsi="Cambria"/>
                <w:sz w:val="20"/>
                <w:szCs w:val="20"/>
                <w:highlight w:val="yellow"/>
              </w:rPr>
              <w:t>smart</w:t>
            </w:r>
            <w:proofErr w:type="spellEnd"/>
            <w:r w:rsidRPr="005635C7">
              <w:rPr>
                <w:rFonts w:ascii="Cambria" w:hAnsi="Cambria"/>
                <w:sz w:val="20"/>
                <w:szCs w:val="20"/>
                <w:highlight w:val="yellow"/>
              </w:rPr>
              <w:t xml:space="preserve"> </w:t>
            </w:r>
            <w:proofErr w:type="spellStart"/>
            <w:r w:rsidRPr="005635C7">
              <w:rPr>
                <w:rFonts w:ascii="Cambria" w:hAnsi="Cambria"/>
                <w:sz w:val="20"/>
                <w:szCs w:val="20"/>
                <w:highlight w:val="yellow"/>
              </w:rPr>
              <w:t>contract</w:t>
            </w:r>
            <w:proofErr w:type="spellEnd"/>
            <w:r w:rsidRPr="005635C7">
              <w:rPr>
                <w:rFonts w:ascii="Cambria" w:hAnsi="Cambria"/>
                <w:sz w:val="20"/>
                <w:szCs w:val="20"/>
                <w:highlight w:val="yellow"/>
              </w:rPr>
              <w:t xml:space="preserve"> que los genera o acuña.</w:t>
            </w:r>
            <w:r w:rsidRPr="005635C7">
              <w:rPr>
                <w:rFonts w:ascii="Cambria" w:hAnsi="Cambria"/>
                <w:sz w:val="20"/>
                <w:szCs w:val="20"/>
              </w:rPr>
              <w:t xml:space="preserve"> </w:t>
            </w:r>
          </w:p>
          <w:p w:rsidR="005635C7" w:rsidRDefault="005635C7" w:rsidP="005635C7">
            <w:pPr>
              <w:jc w:val="both"/>
              <w:rPr>
                <w:rStyle w:val="baj"/>
                <w:rFonts w:ascii="Cambria" w:hAnsi="Cambria"/>
                <w:b/>
                <w:bCs/>
                <w:color w:val="343536"/>
                <w:spacing w:val="2"/>
                <w:sz w:val="20"/>
                <w:szCs w:val="20"/>
              </w:rPr>
            </w:pPr>
          </w:p>
          <w:p w:rsidR="005635C7" w:rsidRPr="005635C7" w:rsidRDefault="005635C7" w:rsidP="005635C7">
            <w:pPr>
              <w:jc w:val="both"/>
              <w:rPr>
                <w:rFonts w:ascii="Cambria" w:hAnsi="Cambria"/>
                <w:sz w:val="20"/>
                <w:szCs w:val="20"/>
              </w:rPr>
            </w:pPr>
            <w:r w:rsidRPr="005635C7">
              <w:rPr>
                <w:rStyle w:val="baj"/>
                <w:rFonts w:ascii="Cambria" w:hAnsi="Cambria"/>
                <w:b/>
                <w:bCs/>
                <w:color w:val="343536"/>
                <w:spacing w:val="2"/>
                <w:sz w:val="20"/>
                <w:szCs w:val="20"/>
              </w:rPr>
              <w:t>PARÁGRAFO. </w:t>
            </w:r>
            <w:r w:rsidRPr="005635C7">
              <w:rPr>
                <w:rFonts w:ascii="Cambria" w:hAnsi="Cambria"/>
                <w:sz w:val="20"/>
                <w:szCs w:val="20"/>
              </w:rPr>
              <w:t>Para efectos de lo previsto en el numeral 3 de este artículo, las definiciones de investigación, desarrollo e innovación serán las mismas aplicadas para efectos del artículo </w:t>
            </w:r>
            <w:hyperlink r:id="rId16" w:anchor="256" w:history="1">
              <w:r w:rsidRPr="005635C7">
                <w:rPr>
                  <w:rStyle w:val="Hipervnculo"/>
                  <w:rFonts w:ascii="Cambria" w:hAnsi="Cambria"/>
                  <w:color w:val="00A9E0"/>
                  <w:spacing w:val="2"/>
                  <w:sz w:val="20"/>
                  <w:szCs w:val="20"/>
                </w:rPr>
                <w:t>256</w:t>
              </w:r>
            </w:hyperlink>
            <w:r w:rsidRPr="005635C7">
              <w:rPr>
                <w:rFonts w:ascii="Cambria" w:hAnsi="Cambria"/>
                <w:sz w:val="20"/>
                <w:szCs w:val="20"/>
              </w:rPr>
              <w:t> del Estatuto Tributario.</w:t>
            </w:r>
          </w:p>
          <w:p w:rsidR="005635C7" w:rsidRPr="005635C7" w:rsidRDefault="005635C7" w:rsidP="005635C7">
            <w:pPr>
              <w:jc w:val="both"/>
              <w:rPr>
                <w:rFonts w:ascii="Cambria" w:hAnsi="Cambria" w:cstheme="minorHAnsi"/>
                <w:b/>
                <w:color w:val="000000" w:themeColor="text1"/>
                <w:sz w:val="20"/>
                <w:szCs w:val="20"/>
                <w:lang w:eastAsia="es-CO"/>
              </w:rPr>
            </w:pPr>
          </w:p>
        </w:tc>
      </w:tr>
      <w:tr w:rsidR="00287157" w:rsidTr="0059378C">
        <w:tc>
          <w:tcPr>
            <w:tcW w:w="4958" w:type="dxa"/>
          </w:tcPr>
          <w:p w:rsidR="00287157" w:rsidRPr="00287157" w:rsidRDefault="00287157" w:rsidP="00287157">
            <w:pPr>
              <w:jc w:val="both"/>
              <w:rPr>
                <w:rFonts w:ascii="Cambria" w:hAnsi="Cambria"/>
                <w:sz w:val="20"/>
                <w:szCs w:val="20"/>
                <w:highlight w:val="yellow"/>
              </w:rPr>
            </w:pPr>
            <w:r w:rsidRPr="00287157">
              <w:rPr>
                <w:rFonts w:ascii="Cambria" w:hAnsi="Cambria"/>
                <w:b/>
                <w:bCs/>
                <w:sz w:val="20"/>
                <w:szCs w:val="20"/>
                <w:highlight w:val="yellow"/>
              </w:rPr>
              <w:lastRenderedPageBreak/>
              <w:t xml:space="preserve">Artículo 81-1. Componente inflacionario que no constituye costo </w:t>
            </w:r>
            <w:r w:rsidRPr="00287157">
              <w:rPr>
                <w:rFonts w:ascii="Cambria" w:hAnsi="Cambria"/>
                <w:b/>
                <w:color w:val="FF0000"/>
                <w:sz w:val="20"/>
                <w:szCs w:val="20"/>
                <w:highlight w:val="yellow"/>
              </w:rPr>
              <w:t>(revivido con el artículo 160 de la Ley 2010 de diciembre 27 de 2019).</w:t>
            </w:r>
            <w:r w:rsidRPr="00287157">
              <w:rPr>
                <w:rFonts w:ascii="Cambria" w:hAnsi="Cambria"/>
                <w:color w:val="4B4949"/>
                <w:sz w:val="20"/>
                <w:szCs w:val="20"/>
                <w:highlight w:val="yellow"/>
              </w:rPr>
              <w:t> </w:t>
            </w:r>
            <w:r w:rsidRPr="00287157">
              <w:rPr>
                <w:rFonts w:ascii="Cambria" w:hAnsi="Cambria"/>
                <w:b/>
                <w:bCs/>
                <w:sz w:val="20"/>
                <w:szCs w:val="20"/>
                <w:highlight w:val="yellow"/>
              </w:rPr>
              <w:t>. </w:t>
            </w:r>
            <w:r w:rsidRPr="00287157">
              <w:rPr>
                <w:rFonts w:ascii="Cambria" w:hAnsi="Cambria"/>
                <w:sz w:val="20"/>
                <w:szCs w:val="20"/>
                <w:highlight w:val="yellow"/>
              </w:rPr>
              <w:t xml:space="preserve"> Para los fines previstos en el artículo </w:t>
            </w:r>
            <w:hyperlink r:id="rId17" w:anchor="81" w:history="1">
              <w:r w:rsidRPr="00287157">
                <w:rPr>
                  <w:rStyle w:val="Hipervnculo"/>
                  <w:rFonts w:ascii="Cambria" w:hAnsi="Cambria" w:cs="Arial"/>
                  <w:color w:val="0073FF"/>
                  <w:sz w:val="20"/>
                  <w:szCs w:val="20"/>
                  <w:highlight w:val="yellow"/>
                </w:rPr>
                <w:t>81</w:t>
              </w:r>
            </w:hyperlink>
            <w:r w:rsidRPr="00287157">
              <w:rPr>
                <w:rFonts w:ascii="Cambria" w:hAnsi="Cambria"/>
                <w:sz w:val="20"/>
                <w:szCs w:val="20"/>
                <w:highlight w:val="yellow"/>
              </w:rPr>
              <w:t> del Estatuto Tributario, entiéndase por componente inflacionario de los intereses y demás costos y gastos financieros, el resultado de multiplicar el valor bruto de tales intereses o costos y gastos financieros, por la proporción que exista entre la tasa de inflación del respectivo ejercicio, certificada por el DANE, y la tasa promedio de colocación más representativa en el mismo período, según certificación de la Superintendencia Bancaria</w:t>
            </w:r>
          </w:p>
          <w:p w:rsidR="00287157" w:rsidRPr="00287157" w:rsidRDefault="00287157" w:rsidP="00287157">
            <w:pPr>
              <w:jc w:val="both"/>
              <w:rPr>
                <w:rFonts w:ascii="Cambria" w:hAnsi="Cambria"/>
                <w:sz w:val="20"/>
                <w:szCs w:val="20"/>
                <w:highlight w:val="yellow"/>
              </w:rPr>
            </w:pPr>
          </w:p>
          <w:p w:rsidR="00287157" w:rsidRPr="00287157" w:rsidRDefault="00287157" w:rsidP="00287157">
            <w:pPr>
              <w:jc w:val="both"/>
              <w:rPr>
                <w:rFonts w:ascii="Cambria" w:hAnsi="Cambria"/>
                <w:sz w:val="20"/>
                <w:szCs w:val="20"/>
                <w:highlight w:val="yellow"/>
              </w:rPr>
            </w:pPr>
            <w:r w:rsidRPr="00287157">
              <w:rPr>
                <w:rFonts w:ascii="Cambria" w:hAnsi="Cambria"/>
                <w:sz w:val="20"/>
                <w:szCs w:val="20"/>
                <w:highlight w:val="yellow"/>
              </w:rPr>
              <w:t xml:space="preserve">Cuando se trate de costos o gastos financieros por concepto de deudas en moneda extranjera, no será deducible en los porcentajes señalados en el mencionado artículo, la suma que resulte de multiplicar </w:t>
            </w:r>
            <w:r w:rsidRPr="00287157">
              <w:rPr>
                <w:rFonts w:ascii="Cambria" w:hAnsi="Cambria"/>
                <w:sz w:val="20"/>
                <w:szCs w:val="20"/>
                <w:highlight w:val="yellow"/>
              </w:rPr>
              <w:lastRenderedPageBreak/>
              <w:t>el valor bruto de tales intereses o costos y gastos financieros, por la proporción que exista entre la inflación del mismo ejercicio, certificada por el DANE, y la tasa más representativa del costo promedio del endeudamiento externo en el mismo año, según certificación del Banco de la República.</w:t>
            </w:r>
          </w:p>
          <w:p w:rsidR="00287157" w:rsidRPr="00287157" w:rsidRDefault="00287157" w:rsidP="00287157">
            <w:pPr>
              <w:rPr>
                <w:rFonts w:ascii="Cambria" w:hAnsi="Cambria"/>
                <w:sz w:val="20"/>
                <w:szCs w:val="20"/>
                <w:highlight w:val="yellow"/>
                <w:lang w:val="es-ES"/>
              </w:rPr>
            </w:pPr>
          </w:p>
        </w:tc>
        <w:tc>
          <w:tcPr>
            <w:tcW w:w="4865" w:type="dxa"/>
          </w:tcPr>
          <w:p w:rsidR="00287157" w:rsidRPr="001417DA" w:rsidRDefault="00287157" w:rsidP="00287157">
            <w:pPr>
              <w:jc w:val="both"/>
              <w:rPr>
                <w:rStyle w:val="baj"/>
                <w:rFonts w:ascii="Cambria" w:hAnsi="Cambria"/>
                <w:b/>
                <w:bCs/>
                <w:color w:val="000000" w:themeColor="text1"/>
                <w:spacing w:val="2"/>
                <w:sz w:val="20"/>
                <w:szCs w:val="20"/>
              </w:rPr>
            </w:pPr>
            <w:r w:rsidRPr="00287157">
              <w:rPr>
                <w:rStyle w:val="baj"/>
                <w:rFonts w:ascii="Cambria" w:hAnsi="Cambria"/>
                <w:b/>
                <w:bCs/>
                <w:color w:val="FF0000"/>
                <w:spacing w:val="2"/>
                <w:sz w:val="20"/>
                <w:szCs w:val="20"/>
              </w:rPr>
              <w:lastRenderedPageBreak/>
              <w:t xml:space="preserve">Derogado con art. 95 </w:t>
            </w:r>
            <w:r w:rsidR="00FB60A2">
              <w:rPr>
                <w:rStyle w:val="baj"/>
                <w:rFonts w:ascii="Cambria" w:hAnsi="Cambria"/>
                <w:b/>
                <w:bCs/>
                <w:color w:val="FF0000"/>
                <w:spacing w:val="2"/>
                <w:sz w:val="20"/>
                <w:szCs w:val="20"/>
              </w:rPr>
              <w:t>proyecto de Ley de septiembre de 2025</w:t>
            </w:r>
          </w:p>
        </w:tc>
      </w:tr>
      <w:tr w:rsidR="00287157" w:rsidTr="0059378C">
        <w:tc>
          <w:tcPr>
            <w:tcW w:w="4958" w:type="dxa"/>
          </w:tcPr>
          <w:p w:rsidR="00287157" w:rsidRPr="001417DA" w:rsidRDefault="00287157" w:rsidP="00287157">
            <w:pPr>
              <w:jc w:val="both"/>
              <w:rPr>
                <w:rFonts w:ascii="Cambria" w:hAnsi="Cambria"/>
                <w:sz w:val="20"/>
                <w:szCs w:val="20"/>
              </w:rPr>
            </w:pPr>
            <w:bookmarkStart w:id="6" w:name="90-3"/>
            <w:r w:rsidRPr="001417DA">
              <w:rPr>
                <w:rStyle w:val="baj"/>
                <w:rFonts w:ascii="Cambria" w:hAnsi="Cambria"/>
                <w:b/>
                <w:bCs/>
                <w:color w:val="000000" w:themeColor="text1"/>
                <w:spacing w:val="2"/>
                <w:sz w:val="20"/>
                <w:szCs w:val="20"/>
              </w:rPr>
              <w:t>Artículo 90-3. Enajenaciones indirectas.</w:t>
            </w:r>
            <w:bookmarkEnd w:id="6"/>
            <w:r w:rsidRPr="001417DA">
              <w:rPr>
                <w:rStyle w:val="baj"/>
                <w:rFonts w:ascii="Cambria" w:hAnsi="Cambria"/>
                <w:b/>
                <w:bCs/>
                <w:color w:val="000000" w:themeColor="text1"/>
                <w:spacing w:val="2"/>
                <w:sz w:val="20"/>
                <w:szCs w:val="20"/>
              </w:rPr>
              <w:t> </w:t>
            </w:r>
            <w:r w:rsidRPr="001417DA">
              <w:rPr>
                <w:rFonts w:ascii="Cambria" w:hAnsi="Cambria"/>
                <w:sz w:val="20"/>
                <w:szCs w:val="20"/>
              </w:rPr>
              <w:t xml:space="preserve"> La enajenación indirecta de acciones en sociedades, derechos o activos ubicados en el territorio nacional, mediante la enajenación, a cualquier título, de acciones, participaciones o derechos de entidades del exterior, se encuentra gravada en Colombia como si la enajenación del activo subyacente se hubiera realizado directamente. El costo fiscal aplicable al activo subyacente, así como el tratamiento y condiciones tributarios será el que tenga el tenedor del activo subyacente como si lo hubiera enajenado directamente en el país y el precio de venta o valor de enajenación debe corresponder a su valor comercial de conformidad con el Estatuto Tributario. Cuando se realice una posterior enajenación indirecta, el costo fiscal será el valor proporcionalmente pagado por las acciones, participaciones o derechos de la entidad del exterior que posee los activos subyacentes ubicados en Colombia.</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Se entiende por transferencia indirecta, la enajenación de un derecho de participación en un activo en su totalidad o en parte, ya sea que dicha transferencia se realice entre partes relacionadas o independientes.</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Cuando el primer punto de contacto en Colombia sea una sociedad nacional, se entenderá que el activo subyacente son las acciones, participaciones o derechos en dicha sociedad nacional.</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Cuando el adquirente sea un residente colombiano, agente de retención, deberá practicar la correspondiente retención en la fuente según la naturaleza del pago. La retención en la fuente será calculada con base en la participación total del valor comercial del activo subyacente ubicado en Colombia dentro del valor total de enajenación.</w:t>
            </w:r>
          </w:p>
          <w:p w:rsidR="00287157" w:rsidRDefault="00287157" w:rsidP="00287157">
            <w:pPr>
              <w:jc w:val="both"/>
              <w:rPr>
                <w:rStyle w:val="baj"/>
                <w:rFonts w:ascii="Cambria" w:hAnsi="Cambria"/>
                <w:b/>
                <w:bCs/>
                <w:color w:val="343536"/>
                <w:spacing w:val="2"/>
                <w:sz w:val="20"/>
                <w:szCs w:val="20"/>
              </w:rPr>
            </w:pPr>
          </w:p>
          <w:p w:rsidR="00287157" w:rsidRDefault="00287157" w:rsidP="00287157">
            <w:pPr>
              <w:jc w:val="both"/>
              <w:rPr>
                <w:rFonts w:ascii="Cambria" w:hAnsi="Cambria"/>
                <w:color w:val="454545"/>
                <w:sz w:val="20"/>
                <w:szCs w:val="20"/>
              </w:rPr>
            </w:pPr>
            <w:r w:rsidRPr="001417DA">
              <w:rPr>
                <w:rStyle w:val="baj"/>
                <w:rFonts w:ascii="Cambria" w:hAnsi="Cambria"/>
                <w:b/>
                <w:bCs/>
                <w:color w:val="343536"/>
                <w:spacing w:val="2"/>
                <w:sz w:val="20"/>
                <w:szCs w:val="20"/>
              </w:rPr>
              <w:t>PARÁGRAFO 1o. </w:t>
            </w:r>
            <w:r w:rsidRPr="001417DA">
              <w:rPr>
                <w:rFonts w:ascii="Cambria" w:hAnsi="Cambria"/>
                <w:sz w:val="20"/>
                <w:szCs w:val="20"/>
              </w:rPr>
              <w:t>Lo dispuesto en este artículo no se aplicará cuando las acciones o derechos que se enajenen se encuentren inscritos en una Bolsa de Valores reconocida por una autoridad gubernamental, que cuente con un mercado secundario activo, y cuando las acciones no estén concentradas en un mismo beneficiario real en más de un veinte por ciento (20%).</w:t>
            </w:r>
          </w:p>
          <w:p w:rsidR="00287157" w:rsidRPr="001417DA" w:rsidRDefault="00287157" w:rsidP="00287157">
            <w:pPr>
              <w:jc w:val="both"/>
              <w:rPr>
                <w:rFonts w:ascii="Cambria" w:hAnsi="Cambria"/>
                <w:color w:val="454545"/>
                <w:sz w:val="20"/>
                <w:szCs w:val="20"/>
              </w:rPr>
            </w:pPr>
            <w:r w:rsidRPr="001417DA">
              <w:rPr>
                <w:rFonts w:ascii="Cambria" w:hAnsi="Cambria"/>
                <w:color w:val="454545"/>
                <w:sz w:val="20"/>
                <w:szCs w:val="20"/>
              </w:rPr>
              <w:t xml:space="preserve"> </w:t>
            </w:r>
          </w:p>
          <w:p w:rsidR="00287157" w:rsidRPr="001417DA" w:rsidRDefault="00287157" w:rsidP="00287157">
            <w:pPr>
              <w:jc w:val="both"/>
              <w:rPr>
                <w:rFonts w:ascii="Cambria" w:hAnsi="Cambria"/>
                <w:sz w:val="20"/>
                <w:szCs w:val="20"/>
              </w:rPr>
            </w:pPr>
            <w:r w:rsidRPr="001417DA">
              <w:rPr>
                <w:rStyle w:val="baj"/>
                <w:rFonts w:ascii="Cambria" w:hAnsi="Cambria"/>
                <w:b/>
                <w:bCs/>
                <w:color w:val="343536"/>
                <w:spacing w:val="2"/>
                <w:sz w:val="20"/>
                <w:szCs w:val="20"/>
              </w:rPr>
              <w:lastRenderedPageBreak/>
              <w:t>PARÁGRAFO 2o.</w:t>
            </w:r>
            <w:r w:rsidRPr="001417DA">
              <w:rPr>
                <w:rFonts w:ascii="Cambria" w:hAnsi="Cambria"/>
                <w:sz w:val="20"/>
                <w:szCs w:val="20"/>
              </w:rPr>
              <w:t> Lo dispuesto en este artículo no se aplicará a la transferencia indirecta de sociedades o activos ubicados en el territorio nacional, cuando el valor de los activos ubicados en Colombia represente menos del veinte por ciento (20%) del valor en libros y menos del veinte por ciento (20%) del valor comercial, de la totalidad de los activos poseídos por la entidad del exterior enajenada.</w:t>
            </w:r>
          </w:p>
          <w:p w:rsidR="00287157" w:rsidRDefault="00287157" w:rsidP="00287157">
            <w:pPr>
              <w:jc w:val="both"/>
              <w:rPr>
                <w:rFonts w:ascii="Cambria" w:hAnsi="Cambria"/>
                <w:sz w:val="20"/>
                <w:szCs w:val="20"/>
              </w:rPr>
            </w:pPr>
          </w:p>
          <w:p w:rsidR="00287157" w:rsidRDefault="00287157" w:rsidP="00287157">
            <w:pPr>
              <w:jc w:val="both"/>
              <w:rPr>
                <w:rFonts w:ascii="Cambria" w:hAnsi="Cambria"/>
                <w:color w:val="454545"/>
                <w:sz w:val="20"/>
                <w:szCs w:val="20"/>
              </w:rPr>
            </w:pPr>
            <w:r w:rsidRPr="001417DA">
              <w:rPr>
                <w:rFonts w:ascii="Cambria" w:hAnsi="Cambria"/>
                <w:sz w:val="20"/>
                <w:szCs w:val="20"/>
              </w:rPr>
              <w:t>En el caso de fusiones y escisiones entre entidades extranjeras, que involucren una enajenación indirecta, se aplicarán las disposiciones del artículo </w:t>
            </w:r>
            <w:hyperlink r:id="rId18" w:anchor="319-8" w:history="1">
              <w:r w:rsidRPr="001417DA">
                <w:rPr>
                  <w:rStyle w:val="Hipervnculo"/>
                  <w:rFonts w:ascii="Cambria" w:hAnsi="Cambria"/>
                  <w:color w:val="00A9E0"/>
                  <w:spacing w:val="2"/>
                  <w:sz w:val="20"/>
                  <w:szCs w:val="20"/>
                </w:rPr>
                <w:t>319-8</w:t>
              </w:r>
            </w:hyperlink>
            <w:r w:rsidRPr="001417DA">
              <w:rPr>
                <w:rFonts w:ascii="Cambria" w:hAnsi="Cambria"/>
                <w:sz w:val="20"/>
                <w:szCs w:val="20"/>
              </w:rPr>
              <w:t> del Estatuto Tributario.</w:t>
            </w:r>
          </w:p>
          <w:p w:rsidR="00287157" w:rsidRPr="001417DA" w:rsidRDefault="00287157" w:rsidP="00287157">
            <w:pPr>
              <w:jc w:val="both"/>
              <w:rPr>
                <w:rFonts w:ascii="Cambria" w:hAnsi="Cambria"/>
                <w:color w:val="454545"/>
                <w:sz w:val="20"/>
                <w:szCs w:val="20"/>
              </w:rPr>
            </w:pPr>
            <w:r w:rsidRPr="001417DA">
              <w:rPr>
                <w:rFonts w:ascii="Cambria" w:hAnsi="Cambria"/>
                <w:color w:val="454545"/>
                <w:sz w:val="20"/>
                <w:szCs w:val="20"/>
              </w:rPr>
              <w:t xml:space="preserve"> </w:t>
            </w:r>
          </w:p>
          <w:p w:rsidR="00287157"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3o.</w:t>
            </w:r>
            <w:r w:rsidRPr="001417DA">
              <w:rPr>
                <w:rFonts w:ascii="Cambria" w:hAnsi="Cambria"/>
                <w:sz w:val="20"/>
                <w:szCs w:val="20"/>
              </w:rPr>
              <w:t> En caso de incumplimiento de las obligaciones tributarias derivadas de una transferencia indirecta por parte del vendedor, la subordinada en territorio colombiano responderá solidariamente por los impuestos, intereses y sanciones, sin perjuicio del derecho a la acción de repetición contra el vendedor. El comprador será responsable solidario, cuando tenga conocimiento que la operación constituye abuso en materia tributaria.</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4</w:t>
            </w:r>
            <w:r>
              <w:rPr>
                <w:rStyle w:val="baj"/>
                <w:rFonts w:ascii="Cambria" w:hAnsi="Cambria"/>
                <w:b/>
                <w:bCs/>
                <w:color w:val="343536"/>
                <w:spacing w:val="2"/>
                <w:sz w:val="20"/>
                <w:szCs w:val="20"/>
              </w:rPr>
              <w:t>º</w:t>
            </w:r>
            <w:r w:rsidRPr="001417DA">
              <w:rPr>
                <w:rStyle w:val="baj"/>
                <w:rFonts w:ascii="Cambria" w:hAnsi="Cambria"/>
                <w:b/>
                <w:bCs/>
                <w:color w:val="343536"/>
                <w:spacing w:val="2"/>
                <w:sz w:val="20"/>
                <w:szCs w:val="20"/>
              </w:rPr>
              <w:t>. </w:t>
            </w:r>
            <w:r w:rsidRPr="001417DA">
              <w:rPr>
                <w:rFonts w:ascii="Cambria" w:hAnsi="Cambria"/>
                <w:sz w:val="20"/>
                <w:szCs w:val="20"/>
              </w:rPr>
              <w:t>El término de tenencia que permite determinar si la transferencia se encuentra gravada con el impuesto sobre la renta o ganancia ocasional será aquel que tenga el accionista, socio o partícipe en la entidad tenedora de los activos subyacentes ubicados en territorio colombiano.</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5</w:t>
            </w:r>
            <w:r>
              <w:rPr>
                <w:rStyle w:val="baj"/>
                <w:rFonts w:ascii="Cambria" w:hAnsi="Cambria"/>
                <w:b/>
                <w:bCs/>
                <w:color w:val="343536"/>
                <w:spacing w:val="2"/>
                <w:sz w:val="20"/>
                <w:szCs w:val="20"/>
              </w:rPr>
              <w:t>º</w:t>
            </w:r>
            <w:r w:rsidRPr="001417DA">
              <w:rPr>
                <w:rStyle w:val="baj"/>
                <w:rFonts w:ascii="Cambria" w:hAnsi="Cambria"/>
                <w:b/>
                <w:bCs/>
                <w:color w:val="343536"/>
                <w:spacing w:val="2"/>
                <w:sz w:val="20"/>
                <w:szCs w:val="20"/>
              </w:rPr>
              <w:t>. </w:t>
            </w:r>
            <w:r w:rsidRPr="001417DA">
              <w:rPr>
                <w:rFonts w:ascii="Cambria" w:hAnsi="Cambria"/>
                <w:sz w:val="20"/>
                <w:szCs w:val="20"/>
              </w:rPr>
              <w:t>El vendedor que enajena indirectamente el activo subyacente es quien debe cumplir con la obligación de presentar las declaraciones tributarias en Colombia. La declaración del impuesto sobre la renta debe ser presentada dentro del mes siguiente a la fecha de enajenación, salvo que el vendedor sea residente fiscal en el país.</w:t>
            </w:r>
          </w:p>
          <w:p w:rsidR="00287157" w:rsidRPr="001417DA" w:rsidRDefault="00287157" w:rsidP="00287157">
            <w:pPr>
              <w:jc w:val="both"/>
              <w:rPr>
                <w:rFonts w:ascii="Cambria" w:hAnsi="Cambria" w:cstheme="minorHAnsi"/>
                <w:b/>
                <w:color w:val="000000" w:themeColor="text1"/>
                <w:sz w:val="20"/>
                <w:szCs w:val="20"/>
                <w:lang w:eastAsia="es-CO"/>
              </w:rPr>
            </w:pPr>
          </w:p>
        </w:tc>
        <w:tc>
          <w:tcPr>
            <w:tcW w:w="4865" w:type="dxa"/>
          </w:tcPr>
          <w:p w:rsidR="00287157" w:rsidRPr="001417DA" w:rsidRDefault="00287157" w:rsidP="00287157">
            <w:pPr>
              <w:jc w:val="both"/>
              <w:rPr>
                <w:rFonts w:ascii="Cambria" w:hAnsi="Cambria"/>
                <w:sz w:val="20"/>
                <w:szCs w:val="20"/>
              </w:rPr>
            </w:pPr>
            <w:r w:rsidRPr="001417DA">
              <w:rPr>
                <w:rStyle w:val="baj"/>
                <w:rFonts w:ascii="Cambria" w:hAnsi="Cambria"/>
                <w:b/>
                <w:bCs/>
                <w:color w:val="000000" w:themeColor="text1"/>
                <w:spacing w:val="2"/>
                <w:sz w:val="20"/>
                <w:szCs w:val="20"/>
              </w:rPr>
              <w:lastRenderedPageBreak/>
              <w:t>Artículo 90-3. Enajenaciones indirectas</w:t>
            </w:r>
            <w:r>
              <w:rPr>
                <w:rStyle w:val="baj"/>
                <w:rFonts w:ascii="Cambria" w:hAnsi="Cambria"/>
                <w:b/>
                <w:bCs/>
                <w:color w:val="000000" w:themeColor="text1"/>
                <w:spacing w:val="2"/>
                <w:sz w:val="20"/>
                <w:szCs w:val="20"/>
              </w:rPr>
              <w:t xml:space="preserve"> (</w:t>
            </w:r>
            <w:r w:rsidRPr="001417DA">
              <w:rPr>
                <w:rStyle w:val="baj"/>
                <w:rFonts w:ascii="Cambria" w:hAnsi="Cambria"/>
                <w:b/>
                <w:bCs/>
                <w:color w:val="FF0000"/>
                <w:spacing w:val="2"/>
                <w:sz w:val="20"/>
                <w:szCs w:val="20"/>
              </w:rPr>
              <w:t xml:space="preserve">modificado con art. 51 </w:t>
            </w:r>
            <w:r w:rsidR="00FB60A2">
              <w:rPr>
                <w:rStyle w:val="baj"/>
                <w:rFonts w:ascii="Cambria" w:hAnsi="Cambria"/>
                <w:b/>
                <w:bCs/>
                <w:color w:val="FF0000"/>
                <w:spacing w:val="2"/>
                <w:sz w:val="20"/>
                <w:szCs w:val="20"/>
              </w:rPr>
              <w:t>proyecto de Ley de septiembre de 2025</w:t>
            </w:r>
            <w:r w:rsidRPr="001417DA">
              <w:rPr>
                <w:rStyle w:val="baj"/>
                <w:rFonts w:ascii="Cambria" w:hAnsi="Cambria"/>
                <w:b/>
                <w:bCs/>
                <w:color w:val="FF0000"/>
                <w:spacing w:val="2"/>
                <w:sz w:val="20"/>
                <w:szCs w:val="20"/>
              </w:rPr>
              <w:t>). </w:t>
            </w:r>
            <w:r w:rsidRPr="001417DA">
              <w:rPr>
                <w:rFonts w:ascii="Cambria" w:hAnsi="Cambria"/>
                <w:color w:val="FF0000"/>
                <w:sz w:val="20"/>
                <w:szCs w:val="20"/>
              </w:rPr>
              <w:t xml:space="preserve"> </w:t>
            </w:r>
            <w:r w:rsidRPr="001417DA">
              <w:rPr>
                <w:rFonts w:ascii="Cambria" w:hAnsi="Cambria"/>
                <w:sz w:val="20"/>
                <w:szCs w:val="20"/>
              </w:rPr>
              <w:t>La enajenación indirecta de acciones en sociedades, derechos o activos ubicados en el territorio nacional, mediante la enajenación, a cualquier título, de acciones, participaciones o derechos de entidades del exterior, se encuentra gravada en Colombia como si la enajenación del activo subyacente se hubiera realizado directamente. El costo fiscal aplicable al activo subyacente, así como el tratamiento y condiciones tributarios será el que tenga el tenedor del activo subyacente como si lo hubiera enajenado directamente en el país y el precio de venta o valor de enajenación debe corresponder a su valor comercial de conformidad con el Estatuto Tributario. Cuando se realice una posterior enajenación indirecta, el costo fiscal será el valor proporcionalmente pagado por las acciones, participaciones o derechos de la entidad del exterior que posee los activos subyacentes ubicados en Colombia.</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Se entiende por transferencia indirecta, la enajenación de un derecho de participación en un activo en su totalidad o en parte, ya sea que dicha transferencia se realice entre partes relacionadas o independientes.</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Cuando el primer punto de contacto en Colombia sea una sociedad nacional, se entenderá que el activo subyacente son las acciones, participaciones o derechos en dicha sociedad nacional.</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Fonts w:ascii="Cambria" w:hAnsi="Cambria"/>
                <w:sz w:val="20"/>
                <w:szCs w:val="20"/>
              </w:rPr>
              <w:t>Cuando el adquirente sea un residente colombiano, agente de retención, deberá practicar la correspondiente retención en la fuente según la naturaleza del pago. La retención en la fuente será calculada con base en la participación total del valor comercial del activo subyacente ubicado en Colombia dentro del valor total de enajenación.</w:t>
            </w:r>
          </w:p>
          <w:p w:rsidR="00287157" w:rsidRDefault="00287157" w:rsidP="00287157">
            <w:pPr>
              <w:jc w:val="both"/>
              <w:rPr>
                <w:rStyle w:val="baj"/>
                <w:rFonts w:ascii="Cambria" w:hAnsi="Cambria"/>
                <w:b/>
                <w:bCs/>
                <w:color w:val="343536"/>
                <w:spacing w:val="2"/>
                <w:sz w:val="20"/>
                <w:szCs w:val="20"/>
              </w:rPr>
            </w:pPr>
          </w:p>
          <w:p w:rsidR="00287157" w:rsidRDefault="00287157" w:rsidP="00287157">
            <w:pPr>
              <w:jc w:val="both"/>
              <w:rPr>
                <w:rFonts w:ascii="Cambria" w:hAnsi="Cambria"/>
                <w:color w:val="454545"/>
                <w:sz w:val="20"/>
                <w:szCs w:val="20"/>
              </w:rPr>
            </w:pPr>
            <w:r w:rsidRPr="001417DA">
              <w:rPr>
                <w:rStyle w:val="baj"/>
                <w:rFonts w:ascii="Cambria" w:hAnsi="Cambria"/>
                <w:b/>
                <w:bCs/>
                <w:color w:val="343536"/>
                <w:spacing w:val="2"/>
                <w:sz w:val="20"/>
                <w:szCs w:val="20"/>
              </w:rPr>
              <w:t>PARÁGRAFO 1</w:t>
            </w:r>
            <w:r>
              <w:rPr>
                <w:rStyle w:val="baj"/>
                <w:rFonts w:ascii="Cambria" w:hAnsi="Cambria"/>
                <w:b/>
                <w:bCs/>
                <w:color w:val="343536"/>
                <w:spacing w:val="2"/>
                <w:sz w:val="20"/>
                <w:szCs w:val="20"/>
              </w:rPr>
              <w:t>º</w:t>
            </w:r>
            <w:r w:rsidRPr="001417DA">
              <w:rPr>
                <w:rStyle w:val="baj"/>
                <w:rFonts w:ascii="Cambria" w:hAnsi="Cambria"/>
                <w:b/>
                <w:bCs/>
                <w:color w:val="343536"/>
                <w:spacing w:val="2"/>
                <w:sz w:val="20"/>
                <w:szCs w:val="20"/>
              </w:rPr>
              <w:t>. </w:t>
            </w:r>
            <w:r w:rsidRPr="001417DA">
              <w:rPr>
                <w:rFonts w:ascii="Cambria" w:hAnsi="Cambria"/>
                <w:sz w:val="20"/>
                <w:szCs w:val="20"/>
              </w:rPr>
              <w:t>Lo dispuesto en este artículo no se aplicará cuando las acciones o derechos que se enajenen se encuentren inscritos en una Bolsa de Valores reconocida por una autoridad gubernamental, que cuente con un mercado secundario activo, y cuando las acciones no estén concentradas en un mismo beneficiario real en más de un veinte por ciento (20%).</w:t>
            </w:r>
          </w:p>
          <w:p w:rsidR="00287157" w:rsidRPr="001417DA" w:rsidRDefault="00287157" w:rsidP="00287157">
            <w:pPr>
              <w:jc w:val="both"/>
              <w:rPr>
                <w:rFonts w:ascii="Cambria" w:hAnsi="Cambria"/>
                <w:color w:val="454545"/>
                <w:sz w:val="20"/>
                <w:szCs w:val="20"/>
              </w:rPr>
            </w:pPr>
            <w:r w:rsidRPr="001417DA">
              <w:rPr>
                <w:rFonts w:ascii="Cambria" w:hAnsi="Cambria"/>
                <w:color w:val="454545"/>
                <w:sz w:val="20"/>
                <w:szCs w:val="20"/>
              </w:rPr>
              <w:lastRenderedPageBreak/>
              <w:t xml:space="preserve"> </w:t>
            </w:r>
          </w:p>
          <w:p w:rsidR="00287157" w:rsidRPr="001417DA"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2</w:t>
            </w:r>
            <w:r>
              <w:rPr>
                <w:rStyle w:val="baj"/>
                <w:rFonts w:ascii="Cambria" w:hAnsi="Cambria"/>
                <w:b/>
                <w:bCs/>
                <w:color w:val="343536"/>
                <w:spacing w:val="2"/>
                <w:sz w:val="20"/>
                <w:szCs w:val="20"/>
              </w:rPr>
              <w:t>º</w:t>
            </w:r>
            <w:r w:rsidRPr="001417DA">
              <w:rPr>
                <w:rStyle w:val="baj"/>
                <w:rFonts w:ascii="Cambria" w:hAnsi="Cambria"/>
                <w:b/>
                <w:bCs/>
                <w:color w:val="343536"/>
                <w:spacing w:val="2"/>
                <w:sz w:val="20"/>
                <w:szCs w:val="20"/>
              </w:rPr>
              <w:t>.</w:t>
            </w:r>
            <w:r w:rsidRPr="001417DA">
              <w:rPr>
                <w:rFonts w:ascii="Cambria" w:hAnsi="Cambria"/>
                <w:sz w:val="20"/>
                <w:szCs w:val="20"/>
              </w:rPr>
              <w:t> Lo dispuesto en este artículo no se aplicará a la transferencia indirecta de sociedades o activos ubicados en el territorio nacional, cuando el valor de los activos ubicados en Colombia represente menos del veinte por ciento (20%) del valor en libros y menos del veinte por ciento (20%) del valor comercial, de la totalidad de los activos poseídos por la entidad del exterior enajenada.</w:t>
            </w:r>
          </w:p>
          <w:p w:rsidR="00287157" w:rsidRDefault="00287157" w:rsidP="00287157">
            <w:pPr>
              <w:jc w:val="both"/>
              <w:rPr>
                <w:rFonts w:ascii="Cambria" w:hAnsi="Cambria"/>
                <w:sz w:val="20"/>
                <w:szCs w:val="20"/>
              </w:rPr>
            </w:pPr>
          </w:p>
          <w:p w:rsidR="00287157" w:rsidRDefault="00287157" w:rsidP="00287157">
            <w:pPr>
              <w:jc w:val="both"/>
              <w:rPr>
                <w:rFonts w:ascii="Cambria" w:hAnsi="Cambria"/>
                <w:color w:val="454545"/>
                <w:sz w:val="20"/>
                <w:szCs w:val="20"/>
              </w:rPr>
            </w:pPr>
            <w:r w:rsidRPr="001417DA">
              <w:rPr>
                <w:rFonts w:ascii="Cambria" w:hAnsi="Cambria"/>
                <w:sz w:val="20"/>
                <w:szCs w:val="20"/>
              </w:rPr>
              <w:t>En el caso de fusiones y escisiones entre entidades extranjeras, que involucren una enajenación indirecta, se aplicarán las disposiciones del artículo </w:t>
            </w:r>
            <w:hyperlink r:id="rId19" w:anchor="319-8" w:history="1">
              <w:r w:rsidRPr="001417DA">
                <w:rPr>
                  <w:rStyle w:val="Hipervnculo"/>
                  <w:rFonts w:ascii="Cambria" w:hAnsi="Cambria"/>
                  <w:color w:val="00A9E0"/>
                  <w:spacing w:val="2"/>
                  <w:sz w:val="20"/>
                  <w:szCs w:val="20"/>
                </w:rPr>
                <w:t>319-8</w:t>
              </w:r>
            </w:hyperlink>
            <w:r w:rsidRPr="001417DA">
              <w:rPr>
                <w:rFonts w:ascii="Cambria" w:hAnsi="Cambria"/>
                <w:sz w:val="20"/>
                <w:szCs w:val="20"/>
              </w:rPr>
              <w:t> del Estatuto Tributario.</w:t>
            </w:r>
          </w:p>
          <w:p w:rsidR="00287157" w:rsidRPr="001417DA" w:rsidRDefault="00287157" w:rsidP="00287157">
            <w:pPr>
              <w:jc w:val="both"/>
              <w:rPr>
                <w:rFonts w:ascii="Cambria" w:hAnsi="Cambria"/>
                <w:color w:val="454545"/>
                <w:sz w:val="20"/>
                <w:szCs w:val="20"/>
              </w:rPr>
            </w:pPr>
            <w:r w:rsidRPr="001417DA">
              <w:rPr>
                <w:rFonts w:ascii="Cambria" w:hAnsi="Cambria"/>
                <w:color w:val="454545"/>
                <w:sz w:val="20"/>
                <w:szCs w:val="20"/>
              </w:rPr>
              <w:t xml:space="preserve"> </w:t>
            </w:r>
          </w:p>
          <w:p w:rsidR="00287157" w:rsidRPr="001417DA" w:rsidRDefault="00287157" w:rsidP="00287157">
            <w:pPr>
              <w:jc w:val="both"/>
              <w:rPr>
                <w:rFonts w:ascii="Cambria" w:hAnsi="Cambria"/>
                <w:sz w:val="20"/>
                <w:szCs w:val="20"/>
              </w:rPr>
            </w:pPr>
            <w:r w:rsidRPr="001417DA">
              <w:rPr>
                <w:rFonts w:ascii="Cambria" w:hAnsi="Cambria"/>
                <w:b/>
                <w:bCs/>
                <w:sz w:val="20"/>
                <w:szCs w:val="20"/>
              </w:rPr>
              <w:t xml:space="preserve">Parágrafo 3. </w:t>
            </w:r>
            <w:r w:rsidRPr="001417DA">
              <w:rPr>
                <w:rFonts w:ascii="Cambria" w:hAnsi="Cambria"/>
                <w:sz w:val="20"/>
                <w:szCs w:val="20"/>
              </w:rPr>
              <w:t xml:space="preserve">En caso de incumplimiento de las obligaciones tributarias derivadas de una transferencia indirecta por parte del vendedor, la subordinada en territorio colombiano responderá solidariamente por los impuestos, intereses y sanciones, sin perjuicio del derecho a la acción de repetición contra el vendedor. El comprador será responsable solidario, cuando tenga conocimiento que la operación constituye abuso en materia tributaria. </w:t>
            </w:r>
            <w:r w:rsidRPr="001417DA">
              <w:rPr>
                <w:rFonts w:ascii="Cambria" w:hAnsi="Cambria"/>
                <w:sz w:val="20"/>
                <w:szCs w:val="20"/>
                <w:highlight w:val="yellow"/>
              </w:rPr>
              <w:t>De igual manera serán responsables de la obligación formal de declarar, cuando el vendedor no cumpla lo previsto en el parágrafo 5 de este artículo</w:t>
            </w:r>
            <w:r w:rsidRPr="001417DA">
              <w:rPr>
                <w:rFonts w:ascii="Cambria" w:hAnsi="Cambria"/>
                <w:sz w:val="20"/>
                <w:szCs w:val="20"/>
              </w:rPr>
              <w:t xml:space="preserve"> </w:t>
            </w:r>
          </w:p>
          <w:p w:rsidR="00287157" w:rsidRDefault="00287157" w:rsidP="00287157">
            <w:pPr>
              <w:jc w:val="both"/>
              <w:rPr>
                <w:rStyle w:val="baj"/>
                <w:rFonts w:ascii="Cambria" w:hAnsi="Cambria"/>
                <w:b/>
                <w:bCs/>
                <w:color w:val="343536"/>
                <w:spacing w:val="2"/>
                <w:sz w:val="20"/>
                <w:szCs w:val="20"/>
              </w:rPr>
            </w:pPr>
          </w:p>
          <w:p w:rsidR="00287157"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4o. </w:t>
            </w:r>
            <w:r w:rsidRPr="001417DA">
              <w:rPr>
                <w:rFonts w:ascii="Cambria" w:hAnsi="Cambria"/>
                <w:sz w:val="20"/>
                <w:szCs w:val="20"/>
              </w:rPr>
              <w:t>El término de tenencia que permite determinar si la transferencia se encuentra gravada con el impuesto sobre la renta o ganancia ocasional será aquel que tenga el accionista, socio o partícipe en la entidad tenedora de los activos subyacentes ubicados en territorio colombiano.</w:t>
            </w:r>
          </w:p>
          <w:p w:rsidR="00287157" w:rsidRDefault="00287157" w:rsidP="00287157">
            <w:pPr>
              <w:jc w:val="both"/>
              <w:rPr>
                <w:rFonts w:ascii="Cambria" w:hAnsi="Cambria"/>
                <w:sz w:val="20"/>
                <w:szCs w:val="20"/>
              </w:rPr>
            </w:pPr>
          </w:p>
          <w:p w:rsidR="00287157" w:rsidRPr="001417DA" w:rsidRDefault="00287157" w:rsidP="00287157">
            <w:pPr>
              <w:jc w:val="both"/>
              <w:rPr>
                <w:rFonts w:ascii="Cambria" w:hAnsi="Cambria"/>
                <w:sz w:val="20"/>
                <w:szCs w:val="20"/>
              </w:rPr>
            </w:pPr>
            <w:r w:rsidRPr="001417DA">
              <w:rPr>
                <w:rStyle w:val="baj"/>
                <w:rFonts w:ascii="Cambria" w:hAnsi="Cambria"/>
                <w:b/>
                <w:bCs/>
                <w:color w:val="343536"/>
                <w:spacing w:val="2"/>
                <w:sz w:val="20"/>
                <w:szCs w:val="20"/>
              </w:rPr>
              <w:t>PARÁGRAFO 5o. </w:t>
            </w:r>
            <w:r w:rsidRPr="001417DA">
              <w:rPr>
                <w:rFonts w:ascii="Cambria" w:hAnsi="Cambria"/>
                <w:sz w:val="20"/>
                <w:szCs w:val="20"/>
              </w:rPr>
              <w:t>El vendedor que enajena indirectamente el activo subyacente es quien debe cumplir con la obligación de presentar las declaraciones tributarias en Colombia. La declaración del impuesto sobre la renta debe ser presentada dentro del mes siguiente a la fecha de enajenación, salvo que el vendedor sea residente fiscal en el país.</w:t>
            </w:r>
          </w:p>
          <w:p w:rsidR="00287157" w:rsidRDefault="00287157" w:rsidP="00287157">
            <w:pPr>
              <w:jc w:val="both"/>
              <w:rPr>
                <w:rFonts w:ascii="Cambria" w:hAnsi="Cambria" w:cstheme="minorHAnsi"/>
                <w:b/>
                <w:color w:val="000000" w:themeColor="text1"/>
                <w:sz w:val="20"/>
                <w:szCs w:val="20"/>
                <w:lang w:eastAsia="es-CO"/>
              </w:rPr>
            </w:pPr>
          </w:p>
          <w:p w:rsidR="00287157" w:rsidRDefault="00287157" w:rsidP="00287157">
            <w:pPr>
              <w:jc w:val="both"/>
              <w:rPr>
                <w:rFonts w:ascii="Cambria" w:hAnsi="Cambria"/>
                <w:sz w:val="20"/>
                <w:szCs w:val="20"/>
              </w:rPr>
            </w:pPr>
            <w:r w:rsidRPr="00BC6915">
              <w:rPr>
                <w:rFonts w:ascii="Cambria" w:hAnsi="Cambria"/>
                <w:b/>
                <w:bCs/>
                <w:sz w:val="20"/>
                <w:szCs w:val="20"/>
                <w:highlight w:val="yellow"/>
              </w:rPr>
              <w:t xml:space="preserve">Parágrafo 6 </w:t>
            </w:r>
            <w:r w:rsidRPr="00BC6915">
              <w:rPr>
                <w:rFonts w:ascii="Cambria" w:hAnsi="Cambria"/>
                <w:sz w:val="20"/>
                <w:szCs w:val="20"/>
                <w:highlight w:val="yellow"/>
              </w:rPr>
              <w:t xml:space="preserve">La enajenación indirecta de activos ubicados en el territorio nacional, mediante la enajenación a cualquier título de activos digitales referenciados o representativos de dichos activos, se encuentra gravada en Colombia como si la enajenación del activo subyacente se hubiera realizado directamente. El costo fiscal aplicable al activo subyacente, así como los impuestos aplicables o el tratamiento y condiciones tributarios será el del activo subyacente, como si se hubiera enajenado directamente en el país. Cuando se realice una </w:t>
            </w:r>
            <w:r w:rsidRPr="00BC6915">
              <w:rPr>
                <w:rFonts w:ascii="Cambria" w:hAnsi="Cambria"/>
                <w:sz w:val="20"/>
                <w:szCs w:val="20"/>
                <w:highlight w:val="yellow"/>
              </w:rPr>
              <w:lastRenderedPageBreak/>
              <w:t>posterior enajenación indirecta, el costo fiscal será el valor proporcionalmente pagado del activo digital representativo de los activos subyacentes ubicados en Colombia.</w:t>
            </w:r>
          </w:p>
          <w:p w:rsidR="00287157" w:rsidRPr="00BC6915" w:rsidRDefault="00287157" w:rsidP="00287157">
            <w:pPr>
              <w:jc w:val="both"/>
              <w:rPr>
                <w:rFonts w:ascii="Cambria" w:hAnsi="Cambria" w:cstheme="minorHAnsi"/>
                <w:b/>
                <w:color w:val="000000" w:themeColor="text1"/>
                <w:sz w:val="20"/>
                <w:szCs w:val="20"/>
                <w:lang w:eastAsia="es-CO"/>
              </w:rPr>
            </w:pPr>
          </w:p>
        </w:tc>
      </w:tr>
      <w:tr w:rsidR="00287157" w:rsidTr="0059378C">
        <w:tc>
          <w:tcPr>
            <w:tcW w:w="4958" w:type="dxa"/>
          </w:tcPr>
          <w:p w:rsidR="00287157" w:rsidRPr="00287157" w:rsidRDefault="00287157" w:rsidP="00287157">
            <w:pPr>
              <w:jc w:val="both"/>
              <w:rPr>
                <w:rFonts w:ascii="Cambria" w:hAnsi="Cambria"/>
                <w:sz w:val="20"/>
                <w:szCs w:val="20"/>
                <w:highlight w:val="yellow"/>
              </w:rPr>
            </w:pPr>
            <w:r w:rsidRPr="00287157">
              <w:rPr>
                <w:rFonts w:ascii="Cambria" w:hAnsi="Cambria"/>
                <w:b/>
                <w:bCs/>
                <w:color w:val="000000" w:themeColor="text1"/>
                <w:sz w:val="20"/>
                <w:szCs w:val="20"/>
                <w:highlight w:val="yellow"/>
              </w:rPr>
              <w:lastRenderedPageBreak/>
              <w:t>Articulo 118. El componente inflacionario no es deducible (</w:t>
            </w:r>
            <w:r w:rsidRPr="00287157">
              <w:rPr>
                <w:rFonts w:ascii="Cambria" w:hAnsi="Cambria"/>
                <w:b/>
                <w:bCs/>
                <w:color w:val="FF0000"/>
                <w:sz w:val="20"/>
                <w:szCs w:val="20"/>
                <w:highlight w:val="yellow"/>
              </w:rPr>
              <w:t>revivido con el artículo 160 de la Ley 2010 de diciembre 27 de 2019).</w:t>
            </w:r>
            <w:r w:rsidRPr="00287157">
              <w:rPr>
                <w:rFonts w:ascii="Cambria" w:hAnsi="Cambria"/>
                <w:color w:val="FF0000"/>
                <w:sz w:val="20"/>
                <w:szCs w:val="20"/>
                <w:highlight w:val="yellow"/>
              </w:rPr>
              <w:t xml:space="preserve">  </w:t>
            </w:r>
            <w:r w:rsidRPr="00287157">
              <w:rPr>
                <w:rFonts w:ascii="Cambria" w:hAnsi="Cambria"/>
                <w:sz w:val="20"/>
                <w:szCs w:val="20"/>
                <w:highlight w:val="yellow"/>
              </w:rPr>
              <w:t>No constituirá deducción, el componente inflacionario de los intereses y demás costos y gastos financieros, incluidos los ajustes por diferencia en cambio, en la forma señalada en el artículo </w:t>
            </w:r>
            <w:r w:rsidRPr="00287157">
              <w:rPr>
                <w:rFonts w:ascii="Cambria" w:hAnsi="Cambria" w:cs="Arial"/>
                <w:sz w:val="20"/>
                <w:szCs w:val="20"/>
                <w:highlight w:val="yellow"/>
              </w:rPr>
              <w:t>81</w:t>
            </w:r>
            <w:r w:rsidRPr="00287157">
              <w:rPr>
                <w:rFonts w:ascii="Cambria" w:hAnsi="Cambria"/>
                <w:sz w:val="20"/>
                <w:szCs w:val="20"/>
                <w:highlight w:val="yellow"/>
              </w:rPr>
              <w:t>.</w:t>
            </w:r>
          </w:p>
          <w:p w:rsidR="00287157" w:rsidRPr="00287157" w:rsidRDefault="00287157" w:rsidP="00287157">
            <w:pPr>
              <w:jc w:val="both"/>
              <w:rPr>
                <w:rFonts w:ascii="Cambria" w:hAnsi="Cambria" w:cstheme="minorHAnsi"/>
                <w:b/>
                <w:color w:val="000000" w:themeColor="text1"/>
                <w:sz w:val="20"/>
                <w:szCs w:val="20"/>
                <w:highlight w:val="yellow"/>
                <w:lang w:eastAsia="es-CO"/>
              </w:rPr>
            </w:pPr>
          </w:p>
        </w:tc>
        <w:tc>
          <w:tcPr>
            <w:tcW w:w="4865" w:type="dxa"/>
          </w:tcPr>
          <w:p w:rsidR="00287157" w:rsidRPr="003042D8" w:rsidRDefault="00287157" w:rsidP="00287157">
            <w:pPr>
              <w:jc w:val="both"/>
              <w:rPr>
                <w:rFonts w:ascii="Cambria" w:hAnsi="Cambria" w:cstheme="minorHAnsi"/>
                <w:b/>
                <w:color w:val="000000" w:themeColor="text1"/>
                <w:sz w:val="20"/>
                <w:szCs w:val="20"/>
                <w:lang w:eastAsia="es-CO"/>
              </w:rPr>
            </w:pPr>
            <w:r w:rsidRPr="00287157">
              <w:rPr>
                <w:rFonts w:ascii="Cambria" w:hAnsi="Cambria" w:cstheme="minorHAnsi"/>
                <w:b/>
                <w:color w:val="FF0000"/>
                <w:sz w:val="20"/>
                <w:szCs w:val="20"/>
                <w:lang w:eastAsia="es-CO"/>
              </w:rPr>
              <w:t xml:space="preserve">Derogado con art. 95 </w:t>
            </w:r>
            <w:r w:rsidR="00FB60A2">
              <w:rPr>
                <w:rFonts w:ascii="Cambria" w:hAnsi="Cambria" w:cstheme="minorHAnsi"/>
                <w:b/>
                <w:color w:val="FF0000"/>
                <w:sz w:val="20"/>
                <w:szCs w:val="20"/>
                <w:lang w:eastAsia="es-CO"/>
              </w:rPr>
              <w:t>del proyecto de Ley de septiembre</w:t>
            </w:r>
            <w:r w:rsidRPr="00287157">
              <w:rPr>
                <w:rFonts w:ascii="Cambria" w:hAnsi="Cambria" w:cstheme="minorHAnsi"/>
                <w:b/>
                <w:color w:val="FF0000"/>
                <w:sz w:val="20"/>
                <w:szCs w:val="20"/>
                <w:lang w:eastAsia="es-CO"/>
              </w:rPr>
              <w:t xml:space="preserve"> de 2025</w:t>
            </w:r>
          </w:p>
        </w:tc>
      </w:tr>
      <w:tr w:rsidR="00287157" w:rsidTr="0059378C">
        <w:tc>
          <w:tcPr>
            <w:tcW w:w="4958" w:type="dxa"/>
          </w:tcPr>
          <w:p w:rsidR="00287157" w:rsidRPr="00287157" w:rsidRDefault="00287157" w:rsidP="00287157">
            <w:pPr>
              <w:jc w:val="both"/>
              <w:rPr>
                <w:rFonts w:ascii="Cambria" w:hAnsi="Cambria"/>
                <w:sz w:val="20"/>
                <w:szCs w:val="20"/>
              </w:rPr>
            </w:pPr>
            <w:bookmarkStart w:id="7" w:name="142"/>
            <w:r w:rsidRPr="00287157">
              <w:rPr>
                <w:rFonts w:ascii="Cambria" w:hAnsi="Cambria"/>
                <w:b/>
                <w:bCs/>
                <w:color w:val="000000" w:themeColor="text1"/>
                <w:sz w:val="20"/>
                <w:szCs w:val="20"/>
              </w:rPr>
              <w:t>Artículo 142. </w:t>
            </w:r>
            <w:r w:rsidRPr="00287157">
              <w:rPr>
                <w:rStyle w:val="iaj"/>
                <w:rFonts w:ascii="Cambria" w:hAnsi="Cambria"/>
                <w:b/>
                <w:bCs/>
                <w:color w:val="000000" w:themeColor="text1"/>
                <w:spacing w:val="2"/>
                <w:sz w:val="20"/>
                <w:szCs w:val="20"/>
              </w:rPr>
              <w:t>Deducción de inversiones</w:t>
            </w:r>
            <w:r w:rsidRPr="00287157">
              <w:rPr>
                <w:rStyle w:val="iaj"/>
                <w:rFonts w:ascii="Cambria" w:hAnsi="Cambria"/>
                <w:i/>
                <w:iCs/>
                <w:color w:val="00A9E0"/>
                <w:spacing w:val="2"/>
                <w:sz w:val="20"/>
                <w:szCs w:val="20"/>
                <w:u w:val="single"/>
              </w:rPr>
              <w:t>.</w:t>
            </w:r>
            <w:bookmarkEnd w:id="7"/>
            <w:r w:rsidRPr="00287157">
              <w:rPr>
                <w:rFonts w:ascii="Cambria" w:hAnsi="Cambria"/>
                <w:b/>
                <w:bCs/>
                <w:sz w:val="20"/>
                <w:szCs w:val="20"/>
              </w:rPr>
              <w:t> </w:t>
            </w:r>
            <w:r w:rsidRPr="00287157">
              <w:rPr>
                <w:rFonts w:ascii="Cambria" w:hAnsi="Cambria"/>
                <w:sz w:val="20"/>
                <w:szCs w:val="20"/>
              </w:rPr>
              <w:t xml:space="preserve"> Para efectos del impuesto sobre la renta y complementarios, las inversiones de que trata el artículo </w:t>
            </w:r>
            <w:hyperlink r:id="rId20" w:anchor="74-1" w:history="1">
              <w:r w:rsidRPr="00287157">
                <w:rPr>
                  <w:rStyle w:val="Hipervnculo"/>
                  <w:rFonts w:ascii="Cambria" w:hAnsi="Cambria"/>
                  <w:color w:val="00A9E0"/>
                  <w:spacing w:val="2"/>
                  <w:sz w:val="20"/>
                  <w:szCs w:val="20"/>
                </w:rPr>
                <w:t>74-1</w:t>
              </w:r>
            </w:hyperlink>
            <w:r w:rsidRPr="00287157">
              <w:rPr>
                <w:rFonts w:ascii="Cambria" w:hAnsi="Cambria"/>
                <w:sz w:val="20"/>
                <w:szCs w:val="20"/>
              </w:rPr>
              <w:t> de este estatuto, serán deducibles de conformidad con las siguientes reglas:</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1. Gastos pagados por anticipado. Se deducirá periódicamente en la medida en que se reciban los servicios.</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2. Desembolsos de establecimiento. Los desembolsos de establecimiento se deducirán mediante el método de línea recta, en iguales proporciones, por el plazo del contrato a partir de la generación de rentas por parte del contribuyente y en todo caso no puede ser superior a una alícuota anual del 20%, de su costo fiscal.</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En consecuencia, los gastos no deducibles porque exceden el límite del 20%, en el año o periodo gravable, generarán una diferencia que será deducible en los periodos siguientes, sin exceder el 20% del costo fiscal por año o periodo gravable.</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3. Investigación, desarrollo e innovación: La deducción por este concepto se realizará así:</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a) Por regla general iniciará en el momento en que se finalice el proyecto de investigación, desarrollo e innovación, sea o no exitoso, el cual se amortizará en iguales proporciones, por el tiempo que se espera obtener rentas y en todo caso no puede ser superior a una alícuota anual del 20%, de su costo fiscal;</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 xml:space="preserve">b) Los desarrollos de software: i) si el activo es vendido se trata como costo o deducción en el momento de su enajenación. </w:t>
            </w:r>
            <w:proofErr w:type="spellStart"/>
            <w:r w:rsidRPr="00287157">
              <w:rPr>
                <w:rFonts w:ascii="Cambria" w:hAnsi="Cambria"/>
                <w:sz w:val="20"/>
                <w:szCs w:val="20"/>
              </w:rPr>
              <w:t>ii</w:t>
            </w:r>
            <w:proofErr w:type="spellEnd"/>
            <w:r w:rsidRPr="00287157">
              <w:rPr>
                <w:rFonts w:ascii="Cambria" w:hAnsi="Cambria"/>
                <w:sz w:val="20"/>
                <w:szCs w:val="20"/>
              </w:rPr>
              <w:t>) si el activo es para el uso interno o para explotación, es decir, a través de licenciamiento o derechos de explotación se amortiza por la regla general del literal a) de este numeral.</w:t>
            </w:r>
          </w:p>
          <w:p w:rsidR="00287157" w:rsidRDefault="00287157" w:rsidP="00287157">
            <w:pPr>
              <w:jc w:val="both"/>
              <w:rPr>
                <w:rFonts w:ascii="Cambria" w:hAnsi="Cambria"/>
                <w:sz w:val="20"/>
                <w:szCs w:val="20"/>
              </w:rPr>
            </w:pPr>
          </w:p>
          <w:p w:rsidR="00287157" w:rsidRDefault="00287157" w:rsidP="00287157">
            <w:pPr>
              <w:jc w:val="both"/>
              <w:rPr>
                <w:rFonts w:ascii="Cambria" w:hAnsi="Cambria"/>
                <w:color w:val="454545"/>
                <w:sz w:val="20"/>
                <w:szCs w:val="20"/>
              </w:rPr>
            </w:pPr>
            <w:r w:rsidRPr="00287157">
              <w:rPr>
                <w:rFonts w:ascii="Cambria" w:hAnsi="Cambria"/>
                <w:sz w:val="20"/>
                <w:szCs w:val="20"/>
              </w:rPr>
              <w:t>En consecuencia, para los literales a) y b) de este numeral, los gastos por amortización no deducibles porque exceden el límite del 20%, en el año o periodo gravable, generarán una diferencia que será deducible en los periodos siguientes, sin exceder el 20% del costo fiscal del activo por año o periodo gravable.</w:t>
            </w:r>
          </w:p>
          <w:p w:rsidR="00287157" w:rsidRPr="00287157" w:rsidRDefault="00287157" w:rsidP="00287157">
            <w:pPr>
              <w:jc w:val="both"/>
              <w:rPr>
                <w:rFonts w:ascii="Cambria" w:hAnsi="Cambria"/>
                <w:color w:val="454545"/>
                <w:sz w:val="20"/>
                <w:szCs w:val="20"/>
              </w:rPr>
            </w:pPr>
            <w:r w:rsidRPr="00287157">
              <w:rPr>
                <w:rFonts w:ascii="Cambria" w:hAnsi="Cambria"/>
                <w:color w:val="454545"/>
                <w:sz w:val="20"/>
                <w:szCs w:val="20"/>
              </w:rPr>
              <w:t xml:space="preserve"> </w:t>
            </w:r>
          </w:p>
          <w:p w:rsidR="00287157" w:rsidRPr="00287157" w:rsidRDefault="00287157" w:rsidP="00287157">
            <w:pPr>
              <w:jc w:val="both"/>
              <w:rPr>
                <w:rFonts w:ascii="Cambria" w:hAnsi="Cambria"/>
                <w:sz w:val="20"/>
                <w:szCs w:val="20"/>
              </w:rPr>
            </w:pPr>
            <w:r w:rsidRPr="00287157">
              <w:rPr>
                <w:rStyle w:val="baj"/>
                <w:rFonts w:ascii="Cambria" w:hAnsi="Cambria"/>
                <w:b/>
                <w:bCs/>
                <w:color w:val="343536"/>
                <w:spacing w:val="2"/>
                <w:sz w:val="20"/>
                <w:szCs w:val="20"/>
              </w:rPr>
              <w:t>PARÁGRAFO.</w:t>
            </w:r>
            <w:r w:rsidRPr="00287157">
              <w:rPr>
                <w:rFonts w:ascii="Cambria" w:hAnsi="Cambria"/>
                <w:sz w:val="20"/>
                <w:szCs w:val="20"/>
              </w:rPr>
              <w:t> Lo previsto en los numerales 5 y 6 del artículo </w:t>
            </w:r>
            <w:hyperlink r:id="rId21" w:anchor="74-1" w:history="1">
              <w:r w:rsidRPr="00287157">
                <w:rPr>
                  <w:rStyle w:val="Hipervnculo"/>
                  <w:rFonts w:ascii="Cambria" w:hAnsi="Cambria"/>
                  <w:color w:val="00A9E0"/>
                  <w:spacing w:val="2"/>
                  <w:sz w:val="20"/>
                  <w:szCs w:val="20"/>
                </w:rPr>
                <w:t>74-1</w:t>
              </w:r>
            </w:hyperlink>
            <w:r w:rsidRPr="00287157">
              <w:rPr>
                <w:rFonts w:ascii="Cambria" w:hAnsi="Cambria"/>
                <w:sz w:val="20"/>
                <w:szCs w:val="20"/>
              </w:rPr>
              <w:t> de este estatuto no es susceptible de amortización.</w:t>
            </w:r>
          </w:p>
          <w:p w:rsidR="00287157" w:rsidRPr="00287157" w:rsidRDefault="00287157" w:rsidP="00287157">
            <w:pPr>
              <w:jc w:val="both"/>
              <w:rPr>
                <w:rFonts w:ascii="Cambria" w:hAnsi="Cambria" w:cstheme="minorHAnsi"/>
                <w:b/>
                <w:color w:val="000000" w:themeColor="text1"/>
                <w:sz w:val="20"/>
                <w:szCs w:val="20"/>
                <w:lang w:eastAsia="es-CO"/>
              </w:rPr>
            </w:pPr>
          </w:p>
        </w:tc>
        <w:tc>
          <w:tcPr>
            <w:tcW w:w="4865" w:type="dxa"/>
          </w:tcPr>
          <w:p w:rsidR="00287157" w:rsidRPr="00287157" w:rsidRDefault="00287157" w:rsidP="00287157">
            <w:pPr>
              <w:jc w:val="both"/>
              <w:rPr>
                <w:rFonts w:ascii="Cambria" w:hAnsi="Cambria"/>
                <w:sz w:val="20"/>
                <w:szCs w:val="20"/>
              </w:rPr>
            </w:pPr>
            <w:r w:rsidRPr="00287157">
              <w:rPr>
                <w:rFonts w:ascii="Cambria" w:hAnsi="Cambria"/>
                <w:b/>
                <w:bCs/>
                <w:color w:val="000000" w:themeColor="text1"/>
                <w:sz w:val="20"/>
                <w:szCs w:val="20"/>
              </w:rPr>
              <w:lastRenderedPageBreak/>
              <w:t>Artículo 142. </w:t>
            </w:r>
            <w:r w:rsidRPr="00287157">
              <w:rPr>
                <w:rStyle w:val="iaj"/>
                <w:rFonts w:ascii="Cambria" w:hAnsi="Cambria"/>
                <w:b/>
                <w:bCs/>
                <w:color w:val="000000" w:themeColor="text1"/>
                <w:spacing w:val="2"/>
                <w:sz w:val="20"/>
                <w:szCs w:val="20"/>
              </w:rPr>
              <w:t>Deducción de inversiones</w:t>
            </w:r>
            <w:r w:rsidRPr="00287157">
              <w:rPr>
                <w:rStyle w:val="iaj"/>
                <w:rFonts w:ascii="Cambria" w:hAnsi="Cambria"/>
                <w:i/>
                <w:iCs/>
                <w:color w:val="00A9E0"/>
                <w:spacing w:val="2"/>
                <w:sz w:val="20"/>
                <w:szCs w:val="20"/>
                <w:u w:val="single"/>
              </w:rPr>
              <w:t>.</w:t>
            </w:r>
            <w:r w:rsidRPr="00287157">
              <w:rPr>
                <w:rFonts w:ascii="Cambria" w:hAnsi="Cambria"/>
                <w:b/>
                <w:bCs/>
                <w:sz w:val="20"/>
                <w:szCs w:val="20"/>
              </w:rPr>
              <w:t> </w:t>
            </w:r>
            <w:r w:rsidRPr="00287157">
              <w:rPr>
                <w:rFonts w:ascii="Cambria" w:hAnsi="Cambria"/>
                <w:sz w:val="20"/>
                <w:szCs w:val="20"/>
              </w:rPr>
              <w:t xml:space="preserve"> </w:t>
            </w:r>
            <w:r w:rsidRPr="00287157">
              <w:rPr>
                <w:rFonts w:ascii="Cambria" w:hAnsi="Cambria"/>
                <w:b/>
                <w:bCs/>
                <w:color w:val="FF0000"/>
                <w:sz w:val="20"/>
                <w:szCs w:val="20"/>
              </w:rPr>
              <w:t>(modificado con artículo 48 proyecto de</w:t>
            </w:r>
            <w:r w:rsidR="00FB60A2">
              <w:rPr>
                <w:rFonts w:ascii="Cambria" w:hAnsi="Cambria"/>
                <w:b/>
                <w:bCs/>
                <w:color w:val="FF0000"/>
                <w:sz w:val="20"/>
                <w:szCs w:val="20"/>
              </w:rPr>
              <w:t xml:space="preserve"> </w:t>
            </w:r>
            <w:r w:rsidRPr="00287157">
              <w:rPr>
                <w:rFonts w:ascii="Cambria" w:hAnsi="Cambria"/>
                <w:b/>
                <w:bCs/>
                <w:color w:val="FF0000"/>
                <w:sz w:val="20"/>
                <w:szCs w:val="20"/>
              </w:rPr>
              <w:t>Ley</w:t>
            </w:r>
            <w:r w:rsidR="00FB60A2">
              <w:rPr>
                <w:rFonts w:ascii="Cambria" w:hAnsi="Cambria"/>
                <w:b/>
                <w:bCs/>
                <w:color w:val="FF0000"/>
                <w:sz w:val="20"/>
                <w:szCs w:val="20"/>
              </w:rPr>
              <w:t xml:space="preserve"> </w:t>
            </w:r>
            <w:r w:rsidRPr="00287157">
              <w:rPr>
                <w:rFonts w:ascii="Cambria" w:hAnsi="Cambria"/>
                <w:b/>
                <w:bCs/>
                <w:color w:val="FF0000"/>
                <w:sz w:val="20"/>
                <w:szCs w:val="20"/>
              </w:rPr>
              <w:t xml:space="preserve">de </w:t>
            </w:r>
            <w:r w:rsidR="00FB60A2">
              <w:rPr>
                <w:rFonts w:ascii="Cambria" w:hAnsi="Cambria"/>
                <w:b/>
                <w:bCs/>
                <w:color w:val="FF0000"/>
                <w:sz w:val="20"/>
                <w:szCs w:val="20"/>
              </w:rPr>
              <w:t xml:space="preserve">septiembre de </w:t>
            </w:r>
            <w:r w:rsidRPr="00287157">
              <w:rPr>
                <w:rFonts w:ascii="Cambria" w:hAnsi="Cambria"/>
                <w:b/>
                <w:bCs/>
                <w:color w:val="FF0000"/>
                <w:sz w:val="20"/>
                <w:szCs w:val="20"/>
              </w:rPr>
              <w:t>2025)</w:t>
            </w:r>
            <w:r>
              <w:rPr>
                <w:rFonts w:ascii="Cambria" w:hAnsi="Cambria"/>
                <w:sz w:val="20"/>
                <w:szCs w:val="20"/>
              </w:rPr>
              <w:t xml:space="preserve"> </w:t>
            </w:r>
            <w:r w:rsidRPr="00287157">
              <w:rPr>
                <w:rFonts w:ascii="Cambria" w:hAnsi="Cambria"/>
                <w:sz w:val="20"/>
                <w:szCs w:val="20"/>
              </w:rPr>
              <w:t>a efectos del impuesto sobre la renta y complementarios, las inversiones de que trata el artículo </w:t>
            </w:r>
            <w:hyperlink r:id="rId22" w:anchor="74-1" w:history="1">
              <w:r w:rsidRPr="00287157">
                <w:rPr>
                  <w:rStyle w:val="Hipervnculo"/>
                  <w:rFonts w:ascii="Cambria" w:hAnsi="Cambria"/>
                  <w:color w:val="00A9E0"/>
                  <w:spacing w:val="2"/>
                  <w:sz w:val="20"/>
                  <w:szCs w:val="20"/>
                </w:rPr>
                <w:t>74-1</w:t>
              </w:r>
            </w:hyperlink>
            <w:r w:rsidRPr="00287157">
              <w:rPr>
                <w:rFonts w:ascii="Cambria" w:hAnsi="Cambria"/>
                <w:sz w:val="20"/>
                <w:szCs w:val="20"/>
              </w:rPr>
              <w:t> de este estatuto, serán deducibles de conformidad con las siguientes reglas:</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1. Gastos pagados por anticipado. Se deducirá periódicamente en la medida en que se reciban los servicios.</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2. Desembolsos de establecimiento. Los desembolsos de establecimiento se deducirán mediante el método de línea recta, en iguales proporciones, por el plazo del contrato a partir de la generación de rentas por parte del contribuyente y en todo caso no puede ser superior a una alícuota anual del 20%, de su costo fiscal.</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En consecuencia, los gastos no deducibles porque exceden el límite del 20%, en el año o periodo gravable, generarán una diferencia que será deducible en los periodos siguientes, sin exceder el 20% del costo fiscal por año o periodo gravable.</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3. Investigación, desarrollo e innovación: La deducción por este concepto se realizará así:</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a) Por regla general iniciará en el momento en que se finalice el proyecto de investigación, desarrollo e innovación, sea o no exitoso, el cual se amortizará en iguales proporciones, por el tiempo que se espera obtener rentas y en todo caso no puede ser superior a una alícuota anual del 20%, de su costo fiscal;</w:t>
            </w:r>
          </w:p>
          <w:p w:rsidR="00287157" w:rsidRDefault="00287157" w:rsidP="00287157">
            <w:pPr>
              <w:jc w:val="both"/>
              <w:rPr>
                <w:rFonts w:ascii="Cambria" w:hAnsi="Cambria"/>
                <w:sz w:val="20"/>
                <w:szCs w:val="20"/>
              </w:rPr>
            </w:pPr>
          </w:p>
          <w:p w:rsidR="00287157" w:rsidRPr="00287157" w:rsidRDefault="00287157" w:rsidP="00287157">
            <w:pPr>
              <w:jc w:val="both"/>
              <w:rPr>
                <w:rFonts w:ascii="Cambria" w:hAnsi="Cambria"/>
                <w:sz w:val="20"/>
                <w:szCs w:val="20"/>
              </w:rPr>
            </w:pPr>
            <w:r w:rsidRPr="00287157">
              <w:rPr>
                <w:rFonts w:ascii="Cambria" w:hAnsi="Cambria"/>
                <w:sz w:val="20"/>
                <w:szCs w:val="20"/>
              </w:rPr>
              <w:t xml:space="preserve">b) Los desarrollos de software: i) si el activo es vendido se trata como costo o deducción en el momento de su enajenación. </w:t>
            </w:r>
            <w:proofErr w:type="spellStart"/>
            <w:r w:rsidRPr="00287157">
              <w:rPr>
                <w:rFonts w:ascii="Cambria" w:hAnsi="Cambria"/>
                <w:sz w:val="20"/>
                <w:szCs w:val="20"/>
              </w:rPr>
              <w:t>ii</w:t>
            </w:r>
            <w:proofErr w:type="spellEnd"/>
            <w:r w:rsidRPr="00287157">
              <w:rPr>
                <w:rFonts w:ascii="Cambria" w:hAnsi="Cambria"/>
                <w:sz w:val="20"/>
                <w:szCs w:val="20"/>
              </w:rPr>
              <w:t>) si el activo es para el uso interno o para explotación, es decir, a través de licenciamiento o derechos de explotación se amortiza por la regla general del literal a) de este numeral.</w:t>
            </w:r>
          </w:p>
          <w:p w:rsidR="00287157" w:rsidRDefault="00287157" w:rsidP="00287157">
            <w:pPr>
              <w:jc w:val="both"/>
              <w:rPr>
                <w:rFonts w:ascii="Cambria" w:hAnsi="Cambria"/>
                <w:sz w:val="20"/>
                <w:szCs w:val="20"/>
              </w:rPr>
            </w:pPr>
          </w:p>
          <w:p w:rsidR="00287157" w:rsidRDefault="00287157" w:rsidP="00287157">
            <w:pPr>
              <w:jc w:val="both"/>
              <w:rPr>
                <w:rFonts w:ascii="Cambria" w:hAnsi="Cambria"/>
                <w:color w:val="454545"/>
                <w:sz w:val="20"/>
                <w:szCs w:val="20"/>
              </w:rPr>
            </w:pPr>
            <w:r w:rsidRPr="00287157">
              <w:rPr>
                <w:rFonts w:ascii="Cambria" w:hAnsi="Cambria"/>
                <w:sz w:val="20"/>
                <w:szCs w:val="20"/>
              </w:rPr>
              <w:t>En consecuencia, para los literales a) y b) de este numeral, los gastos por amortización no deducibles porque exceden el límite del 20%, en el año o periodo gravable, generarán una diferencia que será deducible en los periodos siguientes, sin exceder el 20% del costo fiscal del activo por año o periodo gravable.</w:t>
            </w:r>
          </w:p>
          <w:p w:rsidR="00287157" w:rsidRPr="00287157" w:rsidRDefault="00287157" w:rsidP="00287157">
            <w:pPr>
              <w:jc w:val="both"/>
              <w:rPr>
                <w:rFonts w:ascii="Cambria" w:hAnsi="Cambria"/>
                <w:color w:val="454545"/>
                <w:sz w:val="20"/>
                <w:szCs w:val="20"/>
              </w:rPr>
            </w:pPr>
            <w:r w:rsidRPr="00287157">
              <w:rPr>
                <w:rFonts w:ascii="Cambria" w:hAnsi="Cambria"/>
                <w:color w:val="454545"/>
                <w:sz w:val="20"/>
                <w:szCs w:val="20"/>
              </w:rPr>
              <w:t xml:space="preserve"> </w:t>
            </w:r>
          </w:p>
          <w:p w:rsidR="00287157" w:rsidRPr="00287157" w:rsidRDefault="00287157" w:rsidP="00287157">
            <w:pPr>
              <w:jc w:val="both"/>
              <w:rPr>
                <w:rFonts w:ascii="Cambria" w:hAnsi="Cambria"/>
                <w:sz w:val="20"/>
                <w:szCs w:val="20"/>
              </w:rPr>
            </w:pPr>
            <w:r w:rsidRPr="00287157">
              <w:rPr>
                <w:rStyle w:val="baj"/>
                <w:rFonts w:ascii="Cambria" w:hAnsi="Cambria"/>
                <w:b/>
                <w:bCs/>
                <w:color w:val="343536"/>
                <w:spacing w:val="2"/>
                <w:sz w:val="20"/>
                <w:szCs w:val="20"/>
              </w:rPr>
              <w:t>PARÁGRAFO.</w:t>
            </w:r>
            <w:r w:rsidRPr="00287157">
              <w:rPr>
                <w:rFonts w:ascii="Cambria" w:hAnsi="Cambria"/>
                <w:sz w:val="20"/>
                <w:szCs w:val="20"/>
              </w:rPr>
              <w:t> Lo previsto en los numerales 5</w:t>
            </w:r>
            <w:r>
              <w:rPr>
                <w:rFonts w:ascii="Cambria" w:hAnsi="Cambria"/>
                <w:sz w:val="20"/>
                <w:szCs w:val="20"/>
              </w:rPr>
              <w:t>,</w:t>
            </w:r>
            <w:r w:rsidRPr="00287157">
              <w:rPr>
                <w:rFonts w:ascii="Cambria" w:hAnsi="Cambria"/>
                <w:sz w:val="20"/>
                <w:szCs w:val="20"/>
              </w:rPr>
              <w:t xml:space="preserve"> 6 </w:t>
            </w:r>
            <w:r w:rsidRPr="00287157">
              <w:rPr>
                <w:rFonts w:ascii="Cambria" w:hAnsi="Cambria"/>
                <w:sz w:val="20"/>
                <w:szCs w:val="20"/>
                <w:highlight w:val="yellow"/>
              </w:rPr>
              <w:t>y 7</w:t>
            </w:r>
            <w:r>
              <w:rPr>
                <w:rFonts w:ascii="Cambria" w:hAnsi="Cambria"/>
                <w:sz w:val="20"/>
                <w:szCs w:val="20"/>
              </w:rPr>
              <w:t xml:space="preserve"> </w:t>
            </w:r>
            <w:r w:rsidRPr="00287157">
              <w:rPr>
                <w:rFonts w:ascii="Cambria" w:hAnsi="Cambria"/>
                <w:sz w:val="20"/>
                <w:szCs w:val="20"/>
              </w:rPr>
              <w:t>del artículo </w:t>
            </w:r>
            <w:hyperlink r:id="rId23" w:anchor="74-1" w:history="1">
              <w:r w:rsidRPr="00287157">
                <w:rPr>
                  <w:rStyle w:val="Hipervnculo"/>
                  <w:rFonts w:ascii="Cambria" w:hAnsi="Cambria"/>
                  <w:color w:val="00A9E0"/>
                  <w:spacing w:val="2"/>
                  <w:sz w:val="20"/>
                  <w:szCs w:val="20"/>
                </w:rPr>
                <w:t>74-1</w:t>
              </w:r>
            </w:hyperlink>
            <w:r w:rsidRPr="00287157">
              <w:rPr>
                <w:rFonts w:ascii="Cambria" w:hAnsi="Cambria"/>
                <w:sz w:val="20"/>
                <w:szCs w:val="20"/>
              </w:rPr>
              <w:t> de este estatuto no es susceptible de amortización.</w:t>
            </w:r>
          </w:p>
          <w:p w:rsidR="00287157" w:rsidRPr="00287157" w:rsidRDefault="00287157" w:rsidP="00287157">
            <w:pPr>
              <w:jc w:val="both"/>
              <w:rPr>
                <w:rFonts w:ascii="Cambria" w:hAnsi="Cambria" w:cstheme="minorHAnsi"/>
                <w:b/>
                <w:color w:val="000000" w:themeColor="text1"/>
                <w:sz w:val="20"/>
                <w:szCs w:val="20"/>
                <w:lang w:eastAsia="es-CO"/>
              </w:rPr>
            </w:pPr>
          </w:p>
        </w:tc>
      </w:tr>
      <w:tr w:rsidR="00287157" w:rsidTr="0059378C">
        <w:tc>
          <w:tcPr>
            <w:tcW w:w="4958" w:type="dxa"/>
          </w:tcPr>
          <w:p w:rsidR="00287157" w:rsidRPr="00BC6915" w:rsidRDefault="00287157" w:rsidP="00287157">
            <w:pPr>
              <w:jc w:val="both"/>
              <w:rPr>
                <w:rFonts w:ascii="Cambria" w:hAnsi="Cambria"/>
                <w:sz w:val="20"/>
                <w:szCs w:val="20"/>
              </w:rPr>
            </w:pPr>
            <w:bookmarkStart w:id="8" w:name="177"/>
            <w:r w:rsidRPr="00BC6915">
              <w:rPr>
                <w:rFonts w:ascii="Cambria" w:hAnsi="Cambria"/>
                <w:b/>
                <w:bCs/>
                <w:color w:val="000000" w:themeColor="text1"/>
                <w:sz w:val="20"/>
                <w:szCs w:val="20"/>
              </w:rPr>
              <w:lastRenderedPageBreak/>
              <w:t>Articulo 177. Las limitaciones a costos se aplican a las deducciones</w:t>
            </w:r>
            <w:r w:rsidRPr="00BC6915">
              <w:rPr>
                <w:rFonts w:ascii="Cambria" w:hAnsi="Cambria"/>
                <w:color w:val="00A9E0"/>
                <w:sz w:val="20"/>
                <w:szCs w:val="20"/>
                <w:u w:val="single"/>
              </w:rPr>
              <w:t>.</w:t>
            </w:r>
            <w:bookmarkEnd w:id="8"/>
            <w:r w:rsidRPr="00BC6915">
              <w:rPr>
                <w:rFonts w:ascii="Cambria" w:hAnsi="Cambria"/>
                <w:sz w:val="20"/>
                <w:szCs w:val="20"/>
              </w:rPr>
              <w:t> Las deducciones están sujetas a las mismas limitaciones señaladas para los costos, en los artículos </w:t>
            </w:r>
            <w:hyperlink r:id="rId24" w:anchor="85" w:history="1">
              <w:r w:rsidRPr="00BC6915">
                <w:rPr>
                  <w:rStyle w:val="Hipervnculo"/>
                  <w:rFonts w:ascii="Cambria" w:hAnsi="Cambria"/>
                  <w:color w:val="00A9E0"/>
                  <w:spacing w:val="2"/>
                  <w:sz w:val="20"/>
                  <w:szCs w:val="20"/>
                </w:rPr>
                <w:t>85</w:t>
              </w:r>
            </w:hyperlink>
            <w:r w:rsidRPr="00BC6915">
              <w:rPr>
                <w:rFonts w:ascii="Cambria" w:hAnsi="Cambria"/>
                <w:sz w:val="20"/>
                <w:szCs w:val="20"/>
              </w:rPr>
              <w:t> a </w:t>
            </w:r>
            <w:hyperlink r:id="rId25" w:anchor="88" w:history="1">
              <w:r w:rsidRPr="00BC6915">
                <w:rPr>
                  <w:rStyle w:val="Hipervnculo"/>
                  <w:rFonts w:ascii="Cambria" w:hAnsi="Cambria"/>
                  <w:color w:val="00A9E0"/>
                  <w:spacing w:val="2"/>
                  <w:sz w:val="20"/>
                  <w:szCs w:val="20"/>
                </w:rPr>
                <w:t>88</w:t>
              </w:r>
            </w:hyperlink>
            <w:r w:rsidRPr="00BC6915">
              <w:rPr>
                <w:rFonts w:ascii="Cambria" w:hAnsi="Cambria"/>
                <w:sz w:val="20"/>
                <w:szCs w:val="20"/>
              </w:rPr>
              <w:t>, inclusive. Igualmente, para uno y otro caso, no serán deducibles los pagos respaldados en documentos frente a los cuales no se cumpla lo previsto en el numeral tercero del artículo </w:t>
            </w:r>
            <w:hyperlink r:id="rId26" w:anchor="522" w:history="1">
              <w:r w:rsidRPr="00BC6915">
                <w:rPr>
                  <w:rStyle w:val="Hipervnculo"/>
                  <w:rFonts w:ascii="Cambria" w:hAnsi="Cambria"/>
                  <w:color w:val="00A9E0"/>
                  <w:spacing w:val="2"/>
                  <w:sz w:val="20"/>
                  <w:szCs w:val="20"/>
                </w:rPr>
                <w:t>522</w:t>
              </w:r>
            </w:hyperlink>
            <w:r w:rsidRPr="00BC6915">
              <w:rPr>
                <w:rFonts w:ascii="Cambria" w:hAnsi="Cambria"/>
                <w:sz w:val="20"/>
                <w:szCs w:val="20"/>
              </w:rPr>
              <w:t>.</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BC6915" w:rsidRDefault="00287157" w:rsidP="00287157">
            <w:pPr>
              <w:jc w:val="both"/>
              <w:rPr>
                <w:rFonts w:ascii="Cambria" w:hAnsi="Cambria"/>
                <w:sz w:val="20"/>
                <w:szCs w:val="20"/>
              </w:rPr>
            </w:pPr>
            <w:r w:rsidRPr="00BC6915">
              <w:rPr>
                <w:rFonts w:ascii="Cambria" w:hAnsi="Cambria"/>
                <w:sz w:val="20"/>
                <w:szCs w:val="20"/>
              </w:rPr>
              <w:t>Tampoco serán procedentes los costos o deducciones respecto de los cuales no se cumpla con la obligación señalada en artículo </w:t>
            </w:r>
            <w:hyperlink r:id="rId27" w:anchor="632" w:history="1">
              <w:r w:rsidRPr="00BC6915">
                <w:rPr>
                  <w:rStyle w:val="Hipervnculo"/>
                  <w:rFonts w:ascii="Cambria" w:hAnsi="Cambria"/>
                  <w:color w:val="00A9E0"/>
                  <w:spacing w:val="2"/>
                  <w:sz w:val="20"/>
                  <w:szCs w:val="20"/>
                </w:rPr>
                <w:t>632</w:t>
              </w:r>
            </w:hyperlink>
            <w:r w:rsidRPr="00BC6915">
              <w:rPr>
                <w:rFonts w:ascii="Cambria" w:hAnsi="Cambria"/>
                <w:sz w:val="20"/>
                <w:szCs w:val="20"/>
              </w:rPr>
              <w:t>.</w:t>
            </w:r>
          </w:p>
          <w:p w:rsidR="00287157" w:rsidRPr="00BC6915" w:rsidRDefault="00287157" w:rsidP="00287157">
            <w:pPr>
              <w:jc w:val="both"/>
              <w:rPr>
                <w:rFonts w:ascii="Cambria" w:hAnsi="Cambria" w:cstheme="minorHAnsi"/>
                <w:b/>
                <w:color w:val="000000" w:themeColor="text1"/>
                <w:sz w:val="20"/>
                <w:szCs w:val="20"/>
                <w:lang w:eastAsia="es-CO"/>
              </w:rPr>
            </w:pPr>
          </w:p>
        </w:tc>
        <w:tc>
          <w:tcPr>
            <w:tcW w:w="4865" w:type="dxa"/>
          </w:tcPr>
          <w:p w:rsidR="00287157" w:rsidRPr="00BC6915" w:rsidRDefault="00287157" w:rsidP="00287157">
            <w:pPr>
              <w:jc w:val="both"/>
              <w:rPr>
                <w:rFonts w:ascii="Cambria" w:hAnsi="Cambria"/>
                <w:sz w:val="20"/>
                <w:szCs w:val="20"/>
              </w:rPr>
            </w:pPr>
            <w:r w:rsidRPr="00BC6915">
              <w:rPr>
                <w:rFonts w:ascii="Cambria" w:hAnsi="Cambria"/>
                <w:b/>
                <w:bCs/>
                <w:color w:val="000000" w:themeColor="text1"/>
                <w:sz w:val="20"/>
                <w:szCs w:val="20"/>
              </w:rPr>
              <w:t>Articulo 177. Las limitaciones a costos se aplican a las deducciones</w:t>
            </w:r>
            <w:r>
              <w:rPr>
                <w:rFonts w:ascii="Cambria" w:hAnsi="Cambria"/>
                <w:b/>
                <w:bCs/>
                <w:color w:val="000000" w:themeColor="text1"/>
                <w:sz w:val="20"/>
                <w:szCs w:val="20"/>
              </w:rPr>
              <w:t xml:space="preserve"> (</w:t>
            </w:r>
            <w:r w:rsidRPr="00BC6915">
              <w:rPr>
                <w:rFonts w:ascii="Cambria" w:hAnsi="Cambria"/>
                <w:b/>
                <w:bCs/>
                <w:color w:val="FF0000"/>
                <w:sz w:val="20"/>
                <w:szCs w:val="20"/>
              </w:rPr>
              <w:t>modificado con artículo 62 del proyecto de Ley</w:t>
            </w:r>
            <w:r w:rsidR="00FB60A2">
              <w:rPr>
                <w:rFonts w:ascii="Cambria" w:hAnsi="Cambria"/>
                <w:b/>
                <w:bCs/>
                <w:color w:val="FF0000"/>
                <w:sz w:val="20"/>
                <w:szCs w:val="20"/>
              </w:rPr>
              <w:t xml:space="preserve"> de septiembre de </w:t>
            </w:r>
            <w:r w:rsidRPr="00BC6915">
              <w:rPr>
                <w:rFonts w:ascii="Cambria" w:hAnsi="Cambria"/>
                <w:b/>
                <w:bCs/>
                <w:color w:val="FF0000"/>
                <w:sz w:val="20"/>
                <w:szCs w:val="20"/>
              </w:rPr>
              <w:t xml:space="preserve"> 2025)</w:t>
            </w:r>
            <w:r w:rsidRPr="00BC6915">
              <w:rPr>
                <w:rFonts w:ascii="Cambria" w:hAnsi="Cambria"/>
                <w:color w:val="FF0000"/>
                <w:sz w:val="20"/>
                <w:szCs w:val="20"/>
                <w:u w:val="single"/>
              </w:rPr>
              <w:t>.</w:t>
            </w:r>
            <w:r w:rsidRPr="00BC6915">
              <w:rPr>
                <w:rFonts w:ascii="Cambria" w:hAnsi="Cambria"/>
                <w:color w:val="FF0000"/>
                <w:sz w:val="20"/>
                <w:szCs w:val="20"/>
              </w:rPr>
              <w:t> </w:t>
            </w:r>
            <w:r w:rsidRPr="00BC6915">
              <w:rPr>
                <w:rFonts w:ascii="Cambria" w:hAnsi="Cambria"/>
                <w:sz w:val="20"/>
                <w:szCs w:val="20"/>
              </w:rPr>
              <w:t>Las deducciones están sujetas a las mismas limitaciones señaladas para los costos, en los artículos </w:t>
            </w:r>
            <w:hyperlink r:id="rId28" w:anchor="85" w:history="1">
              <w:r w:rsidRPr="00BC6915">
                <w:rPr>
                  <w:rStyle w:val="Hipervnculo"/>
                  <w:rFonts w:ascii="Cambria" w:hAnsi="Cambria"/>
                  <w:color w:val="00A9E0"/>
                  <w:spacing w:val="2"/>
                  <w:sz w:val="20"/>
                  <w:szCs w:val="20"/>
                </w:rPr>
                <w:t>85</w:t>
              </w:r>
            </w:hyperlink>
            <w:r w:rsidRPr="00BC6915">
              <w:rPr>
                <w:rFonts w:ascii="Cambria" w:hAnsi="Cambria"/>
                <w:sz w:val="20"/>
                <w:szCs w:val="20"/>
              </w:rPr>
              <w:t> a </w:t>
            </w:r>
            <w:hyperlink r:id="rId29" w:anchor="88" w:history="1">
              <w:r w:rsidRPr="00BC6915">
                <w:rPr>
                  <w:rStyle w:val="Hipervnculo"/>
                  <w:rFonts w:ascii="Cambria" w:hAnsi="Cambria"/>
                  <w:color w:val="00A9E0"/>
                  <w:spacing w:val="2"/>
                  <w:sz w:val="20"/>
                  <w:szCs w:val="20"/>
                </w:rPr>
                <w:t>88</w:t>
              </w:r>
            </w:hyperlink>
            <w:r w:rsidRPr="00BC6915">
              <w:rPr>
                <w:rFonts w:ascii="Cambria" w:hAnsi="Cambria"/>
                <w:sz w:val="20"/>
                <w:szCs w:val="20"/>
              </w:rPr>
              <w:t>, inclusive. Igualmente, para uno y otro caso, no serán deducibles los pagos respaldados en documentos frente a los cuales no se cumpla lo previsto en el numeral tercero del artículo </w:t>
            </w:r>
            <w:hyperlink r:id="rId30" w:anchor="522" w:history="1">
              <w:r w:rsidRPr="00BC6915">
                <w:rPr>
                  <w:rStyle w:val="Hipervnculo"/>
                  <w:rFonts w:ascii="Cambria" w:hAnsi="Cambria"/>
                  <w:color w:val="00A9E0"/>
                  <w:spacing w:val="2"/>
                  <w:sz w:val="20"/>
                  <w:szCs w:val="20"/>
                </w:rPr>
                <w:t>522</w:t>
              </w:r>
            </w:hyperlink>
            <w:r w:rsidRPr="00BC6915">
              <w:rPr>
                <w:rFonts w:ascii="Cambria" w:hAnsi="Cambria"/>
                <w:sz w:val="20"/>
                <w:szCs w:val="20"/>
              </w:rPr>
              <w:t>.</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r w:rsidRPr="00BC6915">
              <w:rPr>
                <w:rFonts w:ascii="Cambria" w:hAnsi="Cambria"/>
                <w:sz w:val="20"/>
                <w:szCs w:val="20"/>
              </w:rPr>
              <w:t xml:space="preserve">Tampoco serán procedentes los costos o deducciones respecto de los cuales no se cumpla con la obligación señalada en artículo 632 de este Estatuto, </w:t>
            </w:r>
            <w:r w:rsidRPr="00BC6915">
              <w:rPr>
                <w:rFonts w:ascii="Cambria" w:hAnsi="Cambria"/>
                <w:sz w:val="20"/>
                <w:szCs w:val="20"/>
                <w:highlight w:val="yellow"/>
              </w:rPr>
              <w:t>ni se acredite que sobre los costos o deducciones se haya pagado la retención en la fuente cuando hubiere lugar a ella antes de la presentación inicial de la declaración del impuesto sobre la renta.</w:t>
            </w:r>
          </w:p>
          <w:p w:rsidR="00287157" w:rsidRPr="00BC6915" w:rsidRDefault="00287157" w:rsidP="00287157">
            <w:pPr>
              <w:jc w:val="both"/>
              <w:rPr>
                <w:rFonts w:ascii="Cambria" w:hAnsi="Cambria" w:cstheme="minorHAnsi"/>
                <w:b/>
                <w:color w:val="000000" w:themeColor="text1"/>
                <w:sz w:val="20"/>
                <w:szCs w:val="20"/>
                <w:lang w:eastAsia="es-CO"/>
              </w:rPr>
            </w:pPr>
          </w:p>
        </w:tc>
      </w:tr>
      <w:tr w:rsidR="00287157" w:rsidTr="0059378C">
        <w:tc>
          <w:tcPr>
            <w:tcW w:w="4958" w:type="dxa"/>
          </w:tcPr>
          <w:p w:rsidR="00287157" w:rsidRDefault="00287157" w:rsidP="00287157">
            <w:pPr>
              <w:jc w:val="both"/>
              <w:rPr>
                <w:rFonts w:ascii="Cambria" w:hAnsi="Cambria"/>
                <w:sz w:val="20"/>
                <w:szCs w:val="20"/>
                <w:shd w:val="clear" w:color="auto" w:fill="FFFFFF"/>
              </w:rPr>
            </w:pPr>
            <w:bookmarkStart w:id="9" w:name="236"/>
            <w:r w:rsidRPr="00FB05D6">
              <w:rPr>
                <w:rFonts w:ascii="Cambria" w:hAnsi="Cambria"/>
                <w:b/>
                <w:bCs/>
                <w:color w:val="000000" w:themeColor="text1"/>
                <w:sz w:val="20"/>
                <w:szCs w:val="20"/>
                <w:shd w:val="clear" w:color="auto" w:fill="FFFFFF"/>
              </w:rPr>
              <w:t>Articulo 236. Renta por comparación patrimonial</w:t>
            </w:r>
            <w:r w:rsidRPr="00FB05D6">
              <w:rPr>
                <w:rFonts w:ascii="Cambria" w:hAnsi="Cambria"/>
                <w:color w:val="00A9E0"/>
                <w:sz w:val="20"/>
                <w:szCs w:val="20"/>
                <w:u w:val="single"/>
                <w:shd w:val="clear" w:color="auto" w:fill="FFFFFF"/>
              </w:rPr>
              <w:t>.</w:t>
            </w:r>
            <w:bookmarkEnd w:id="9"/>
            <w:r w:rsidRPr="00FB05D6">
              <w:rPr>
                <w:rFonts w:ascii="Cambria" w:hAnsi="Cambria"/>
                <w:sz w:val="20"/>
                <w:szCs w:val="20"/>
                <w:shd w:val="clear" w:color="auto" w:fill="FFFFFF"/>
              </w:rPr>
              <w:t>  Cuando la suma de la renta gravable, las rentas exentas y la ganancia ocasional neta, resultare inferior a la diferencia entre el patrimonio líquido del último período gravable y el patrimonio líquido del período inmediatamente anterior, dicha diferencia se considera renta gravable, a menos que el contribuyente demuestre que el aumento patrimonial obedece a causas justificativas.</w:t>
            </w:r>
          </w:p>
          <w:p w:rsidR="00287157" w:rsidRPr="00FB05D6" w:rsidRDefault="00287157" w:rsidP="00287157">
            <w:pPr>
              <w:jc w:val="both"/>
              <w:rPr>
                <w:rFonts w:ascii="Cambria" w:hAnsi="Cambria" w:cstheme="minorHAnsi"/>
                <w:b/>
                <w:color w:val="000000" w:themeColor="text1"/>
                <w:sz w:val="20"/>
                <w:szCs w:val="20"/>
                <w:lang w:eastAsia="es-CO"/>
              </w:rPr>
            </w:pPr>
          </w:p>
        </w:tc>
        <w:tc>
          <w:tcPr>
            <w:tcW w:w="4865" w:type="dxa"/>
          </w:tcPr>
          <w:p w:rsidR="00287157" w:rsidRDefault="00287157" w:rsidP="00287157">
            <w:pPr>
              <w:jc w:val="both"/>
              <w:rPr>
                <w:rFonts w:ascii="Cambria" w:hAnsi="Cambria"/>
                <w:sz w:val="20"/>
                <w:szCs w:val="20"/>
                <w:shd w:val="clear" w:color="auto" w:fill="FFFFFF"/>
              </w:rPr>
            </w:pPr>
            <w:r w:rsidRPr="00FB05D6">
              <w:rPr>
                <w:rFonts w:ascii="Cambria" w:hAnsi="Cambria"/>
                <w:b/>
                <w:bCs/>
                <w:color w:val="000000" w:themeColor="text1"/>
                <w:sz w:val="20"/>
                <w:szCs w:val="20"/>
                <w:shd w:val="clear" w:color="auto" w:fill="FFFFFF"/>
              </w:rPr>
              <w:t>Articulo 236. Renta por comparación patrimonial</w:t>
            </w:r>
            <w:r>
              <w:rPr>
                <w:rFonts w:ascii="Cambria" w:hAnsi="Cambria"/>
                <w:b/>
                <w:bCs/>
                <w:color w:val="000000" w:themeColor="text1"/>
                <w:sz w:val="20"/>
                <w:szCs w:val="20"/>
                <w:shd w:val="clear" w:color="auto" w:fill="FFFFFF"/>
              </w:rPr>
              <w:t xml:space="preserve"> (</w:t>
            </w:r>
            <w:r w:rsidRPr="0018580E">
              <w:rPr>
                <w:rFonts w:ascii="Cambria" w:hAnsi="Cambria"/>
                <w:b/>
                <w:bCs/>
                <w:color w:val="FF0000"/>
                <w:sz w:val="20"/>
                <w:szCs w:val="20"/>
                <w:shd w:val="clear" w:color="auto" w:fill="FFFFFF"/>
              </w:rPr>
              <w:t xml:space="preserve">modificado con artículo 65 </w:t>
            </w:r>
            <w:r w:rsidR="00FB60A2">
              <w:rPr>
                <w:rFonts w:ascii="Cambria" w:hAnsi="Cambria"/>
                <w:b/>
                <w:bCs/>
                <w:color w:val="FF0000"/>
                <w:sz w:val="20"/>
                <w:szCs w:val="20"/>
                <w:shd w:val="clear" w:color="auto" w:fill="FFFFFF"/>
              </w:rPr>
              <w:t>proyecto de Ley de septiembre de 2025</w:t>
            </w:r>
            <w:r w:rsidRPr="0018580E">
              <w:rPr>
                <w:rFonts w:ascii="Cambria" w:hAnsi="Cambria"/>
                <w:b/>
                <w:bCs/>
                <w:color w:val="FF0000"/>
                <w:sz w:val="20"/>
                <w:szCs w:val="20"/>
                <w:shd w:val="clear" w:color="auto" w:fill="FFFFFF"/>
              </w:rPr>
              <w:t>)</w:t>
            </w:r>
            <w:r w:rsidRPr="0018580E">
              <w:rPr>
                <w:rFonts w:ascii="Cambria" w:hAnsi="Cambria"/>
                <w:color w:val="FF0000"/>
                <w:sz w:val="20"/>
                <w:szCs w:val="20"/>
                <w:u w:val="single"/>
                <w:shd w:val="clear" w:color="auto" w:fill="FFFFFF"/>
              </w:rPr>
              <w:t>.</w:t>
            </w:r>
            <w:r w:rsidRPr="0018580E">
              <w:rPr>
                <w:rFonts w:ascii="Cambria" w:hAnsi="Cambria"/>
                <w:color w:val="FF0000"/>
                <w:sz w:val="20"/>
                <w:szCs w:val="20"/>
                <w:shd w:val="clear" w:color="auto" w:fill="FFFFFF"/>
              </w:rPr>
              <w:t xml:space="preserve">  </w:t>
            </w:r>
            <w:r w:rsidRPr="00FB05D6">
              <w:rPr>
                <w:rFonts w:ascii="Cambria" w:hAnsi="Cambria"/>
                <w:sz w:val="20"/>
                <w:szCs w:val="20"/>
                <w:shd w:val="clear" w:color="auto" w:fill="FFFFFF"/>
              </w:rPr>
              <w:t>Cuando la suma de la renta gravable, las rentas exentas y la ganancia ocasional neta, resultare inferior a la diferencia entre el patrimonio líquido del último período gravable y el patrimonio líquido del período inmediatamente anterior, dicha diferencia se considera renta gravable, a menos que el contribuyente demuestre que el aumento patrimonial obedece a causas justificativas.</w:t>
            </w:r>
          </w:p>
          <w:p w:rsidR="00287157" w:rsidRDefault="00287157" w:rsidP="00287157">
            <w:pPr>
              <w:jc w:val="both"/>
              <w:rPr>
                <w:rFonts w:ascii="Cambria" w:hAnsi="Cambria"/>
                <w:sz w:val="20"/>
                <w:szCs w:val="20"/>
                <w:shd w:val="clear" w:color="auto" w:fill="FFFFFF"/>
              </w:rPr>
            </w:pPr>
          </w:p>
          <w:p w:rsidR="00287157" w:rsidRPr="0018580E" w:rsidRDefault="00287157" w:rsidP="00287157">
            <w:pPr>
              <w:jc w:val="both"/>
              <w:rPr>
                <w:rFonts w:ascii="Cambria" w:hAnsi="Cambria"/>
                <w:sz w:val="20"/>
                <w:szCs w:val="20"/>
                <w:shd w:val="clear" w:color="auto" w:fill="FFFFFF"/>
              </w:rPr>
            </w:pPr>
            <w:r w:rsidRPr="0018580E">
              <w:rPr>
                <w:rFonts w:ascii="Cambria" w:hAnsi="Cambria"/>
                <w:sz w:val="20"/>
                <w:szCs w:val="20"/>
                <w:highlight w:val="yellow"/>
              </w:rPr>
              <w:t>Parágrafo. La administración tributaría podrá determinar la renta por comparación patrimonial tomando la diferencia entre el patrimonio líquido del último período gravable determinado por la administración y el patrimonio líquido del periodo inmediatamente anterior, donde se demuestre el incremento patrimonial no justificado.</w:t>
            </w:r>
          </w:p>
          <w:p w:rsidR="00287157" w:rsidRPr="00FB05D6" w:rsidRDefault="00287157" w:rsidP="00287157">
            <w:pPr>
              <w:jc w:val="both"/>
              <w:rPr>
                <w:rFonts w:ascii="Cambria" w:hAnsi="Cambria" w:cstheme="minorHAnsi"/>
                <w:b/>
                <w:color w:val="000000" w:themeColor="text1"/>
                <w:sz w:val="20"/>
                <w:szCs w:val="20"/>
                <w:lang w:eastAsia="es-CO"/>
              </w:rPr>
            </w:pPr>
          </w:p>
        </w:tc>
      </w:tr>
      <w:tr w:rsidR="00287157" w:rsidTr="0059378C">
        <w:tc>
          <w:tcPr>
            <w:tcW w:w="4958" w:type="dxa"/>
          </w:tcPr>
          <w:p w:rsidR="00287157" w:rsidRPr="00FB05D6" w:rsidRDefault="00287157" w:rsidP="00287157">
            <w:pPr>
              <w:jc w:val="both"/>
              <w:rPr>
                <w:rFonts w:ascii="Cambria" w:hAnsi="Cambria"/>
                <w:sz w:val="20"/>
                <w:szCs w:val="20"/>
              </w:rPr>
            </w:pPr>
            <w:bookmarkStart w:id="10" w:name="239-1"/>
            <w:r w:rsidRPr="0018580E">
              <w:rPr>
                <w:rFonts w:ascii="Cambria" w:hAnsi="Cambria"/>
                <w:b/>
                <w:bCs/>
                <w:color w:val="000000" w:themeColor="text1"/>
                <w:sz w:val="20"/>
                <w:szCs w:val="20"/>
              </w:rPr>
              <w:t>Artículo 239-1. Renta líquida gravable por activos omitidos o pasivos inexistentes.</w:t>
            </w:r>
            <w:bookmarkEnd w:id="10"/>
            <w:r w:rsidRPr="0018580E">
              <w:rPr>
                <w:rFonts w:ascii="Cambria" w:hAnsi="Cambria"/>
                <w:color w:val="000000" w:themeColor="text1"/>
                <w:sz w:val="20"/>
                <w:szCs w:val="20"/>
              </w:rPr>
              <w:t xml:space="preserve">  </w:t>
            </w:r>
            <w:r w:rsidRPr="00FB05D6">
              <w:rPr>
                <w:rFonts w:ascii="Cambria" w:hAnsi="Cambria"/>
                <w:sz w:val="20"/>
                <w:szCs w:val="20"/>
              </w:rPr>
              <w:t>Los contribuyentes podrán incluir como renta líquida gravable en la declaración de renta y complementarios o en las correcciones a que se refiere el artículo </w:t>
            </w:r>
            <w:hyperlink r:id="rId31" w:anchor="588" w:history="1">
              <w:r w:rsidRPr="00FB05D6">
                <w:rPr>
                  <w:rStyle w:val="Hipervnculo"/>
                  <w:rFonts w:ascii="Cambria" w:hAnsi="Cambria"/>
                  <w:color w:val="00A9E0"/>
                  <w:spacing w:val="2"/>
                  <w:sz w:val="20"/>
                  <w:szCs w:val="20"/>
                </w:rPr>
                <w:t>588</w:t>
              </w:r>
            </w:hyperlink>
            <w:r w:rsidRPr="00FB05D6">
              <w:rPr>
                <w:rFonts w:ascii="Cambria" w:hAnsi="Cambria"/>
                <w:sz w:val="20"/>
                <w:szCs w:val="20"/>
              </w:rPr>
              <w:t xml:space="preserve">, el valor de </w:t>
            </w:r>
            <w:r w:rsidRPr="00FB05D6">
              <w:rPr>
                <w:rFonts w:ascii="Cambria" w:hAnsi="Cambria"/>
                <w:sz w:val="20"/>
                <w:szCs w:val="20"/>
              </w:rPr>
              <w:lastRenderedPageBreak/>
              <w:t>los activos omitidos y los pasivos inexistentes originados en períodos no revisables, adicionando el correspondiente valor como renta líquida gravable y liquidando el respectivo impuesto, sin que se genere renta por diferencia patrimonial.</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sz w:val="20"/>
                <w:szCs w:val="20"/>
              </w:rPr>
            </w:pPr>
            <w:r w:rsidRPr="00FB05D6">
              <w:rPr>
                <w:rFonts w:ascii="Cambria" w:hAnsi="Cambria"/>
                <w:sz w:val="20"/>
                <w:szCs w:val="20"/>
              </w:rPr>
              <w:t>Cuando en desarrollo de las acciones de fiscalización, la Administración detecte pasivos inexistentes o activos omitidos por el contribuyente, el valor de los mismos constituirá renta líquida gravable en el período gravable objeto de revisión. El mayor valor del impuesto a cargo determinado por este concepto generará la sanción por inexactitud.</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color w:val="454545"/>
                <w:sz w:val="20"/>
                <w:szCs w:val="20"/>
              </w:rPr>
            </w:pPr>
            <w:r w:rsidRPr="00FB05D6">
              <w:rPr>
                <w:rFonts w:ascii="Cambria" w:hAnsi="Cambria"/>
                <w:sz w:val="20"/>
                <w:szCs w:val="20"/>
              </w:rPr>
              <w:t>Cuando el contribuyente incluya activos omitidos o excluya pasivos inexistentes sin declararlos como renta líquida gravable, la Administración procederá a adicionar la renta líquida gravable por tales valores y aplicará la sanción por inexactitud.</w:t>
            </w: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sz w:val="20"/>
                <w:szCs w:val="20"/>
              </w:rPr>
            </w:pPr>
            <w:r w:rsidRPr="0018580E">
              <w:rPr>
                <w:rFonts w:ascii="Cambria" w:hAnsi="Cambria"/>
                <w:sz w:val="20"/>
                <w:szCs w:val="20"/>
                <w:highlight w:val="yellow"/>
              </w:rPr>
              <w:t>A partir del periodo gravable 2018</w:t>
            </w:r>
            <w:r w:rsidRPr="00FB05D6">
              <w:rPr>
                <w:rFonts w:ascii="Cambria" w:hAnsi="Cambria"/>
                <w:sz w:val="20"/>
                <w:szCs w:val="20"/>
              </w:rPr>
              <w:t>, la sanción por inexactitud a que se refieren los incisos segundo y tercero de este artículo, será equivalente al doscientos por ciento (200%) del mayor valor del impuesto a cargo determinado.</w:t>
            </w:r>
          </w:p>
          <w:p w:rsidR="00287157" w:rsidRPr="00FB05D6" w:rsidRDefault="00287157" w:rsidP="00287157">
            <w:pPr>
              <w:jc w:val="both"/>
              <w:rPr>
                <w:rFonts w:ascii="Cambria" w:hAnsi="Cambria" w:cstheme="minorHAnsi"/>
                <w:b/>
                <w:color w:val="000000" w:themeColor="text1"/>
                <w:sz w:val="20"/>
                <w:szCs w:val="20"/>
                <w:lang w:eastAsia="es-CO"/>
              </w:rPr>
            </w:pPr>
          </w:p>
          <w:p w:rsidR="00287157" w:rsidRPr="00FB05D6" w:rsidRDefault="00287157" w:rsidP="00287157">
            <w:pPr>
              <w:jc w:val="both"/>
              <w:rPr>
                <w:rFonts w:ascii="Cambria" w:hAnsi="Cambria" w:cstheme="minorHAnsi"/>
                <w:b/>
                <w:color w:val="000000" w:themeColor="text1"/>
                <w:sz w:val="20"/>
                <w:szCs w:val="20"/>
                <w:lang w:eastAsia="es-CO"/>
              </w:rPr>
            </w:pPr>
          </w:p>
        </w:tc>
        <w:tc>
          <w:tcPr>
            <w:tcW w:w="4865" w:type="dxa"/>
          </w:tcPr>
          <w:p w:rsidR="00287157" w:rsidRPr="00FB05D6" w:rsidRDefault="00287157" w:rsidP="00287157">
            <w:pPr>
              <w:jc w:val="both"/>
              <w:rPr>
                <w:rFonts w:ascii="Cambria" w:hAnsi="Cambria"/>
                <w:sz w:val="20"/>
                <w:szCs w:val="20"/>
              </w:rPr>
            </w:pPr>
            <w:r w:rsidRPr="0018580E">
              <w:rPr>
                <w:rFonts w:ascii="Cambria" w:hAnsi="Cambria"/>
                <w:b/>
                <w:bCs/>
                <w:color w:val="000000" w:themeColor="text1"/>
                <w:sz w:val="20"/>
                <w:szCs w:val="20"/>
              </w:rPr>
              <w:lastRenderedPageBreak/>
              <w:t>Artículo 239-1. Renta líquida gravable por activos omitidos o pasivos inexistentes</w:t>
            </w:r>
            <w:r>
              <w:rPr>
                <w:rFonts w:ascii="Cambria" w:hAnsi="Cambria"/>
                <w:b/>
                <w:bCs/>
                <w:color w:val="000000" w:themeColor="text1"/>
                <w:sz w:val="20"/>
                <w:szCs w:val="20"/>
              </w:rPr>
              <w:t xml:space="preserve"> </w:t>
            </w:r>
            <w:r w:rsidRPr="0018580E">
              <w:rPr>
                <w:rFonts w:ascii="Cambria" w:hAnsi="Cambria"/>
                <w:b/>
                <w:bCs/>
                <w:color w:val="FF0000"/>
                <w:sz w:val="20"/>
                <w:szCs w:val="20"/>
                <w:shd w:val="clear" w:color="auto" w:fill="FFFFFF"/>
              </w:rPr>
              <w:t>modificado con artículo 65</w:t>
            </w:r>
            <w:r>
              <w:rPr>
                <w:rFonts w:ascii="Cambria" w:hAnsi="Cambria"/>
                <w:b/>
                <w:bCs/>
                <w:color w:val="FF0000"/>
                <w:sz w:val="20"/>
                <w:szCs w:val="20"/>
                <w:shd w:val="clear" w:color="auto" w:fill="FFFFFF"/>
              </w:rPr>
              <w:t>6</w:t>
            </w:r>
            <w:r w:rsidRPr="0018580E">
              <w:rPr>
                <w:rFonts w:ascii="Cambria" w:hAnsi="Cambria"/>
                <w:b/>
                <w:bCs/>
                <w:color w:val="FF0000"/>
                <w:sz w:val="20"/>
                <w:szCs w:val="20"/>
                <w:shd w:val="clear" w:color="auto" w:fill="FFFFFF"/>
              </w:rPr>
              <w:t xml:space="preserve"> </w:t>
            </w:r>
            <w:r w:rsidR="00FB60A2">
              <w:rPr>
                <w:rFonts w:ascii="Cambria" w:hAnsi="Cambria"/>
                <w:b/>
                <w:bCs/>
                <w:color w:val="FF0000"/>
                <w:sz w:val="20"/>
                <w:szCs w:val="20"/>
                <w:shd w:val="clear" w:color="auto" w:fill="FFFFFF"/>
              </w:rPr>
              <w:t>proyecto de Ley de septiembre de 2025</w:t>
            </w:r>
            <w:r w:rsidRPr="0018580E">
              <w:rPr>
                <w:rFonts w:ascii="Cambria" w:hAnsi="Cambria"/>
                <w:b/>
                <w:bCs/>
                <w:color w:val="000000" w:themeColor="text1"/>
                <w:sz w:val="20"/>
                <w:szCs w:val="20"/>
              </w:rPr>
              <w:t>.</w:t>
            </w:r>
            <w:r w:rsidRPr="0018580E">
              <w:rPr>
                <w:rFonts w:ascii="Cambria" w:hAnsi="Cambria"/>
                <w:color w:val="000000" w:themeColor="text1"/>
                <w:sz w:val="20"/>
                <w:szCs w:val="20"/>
              </w:rPr>
              <w:t xml:space="preserve">  </w:t>
            </w:r>
            <w:r w:rsidRPr="00FB05D6">
              <w:rPr>
                <w:rFonts w:ascii="Cambria" w:hAnsi="Cambria"/>
                <w:sz w:val="20"/>
                <w:szCs w:val="20"/>
              </w:rPr>
              <w:t xml:space="preserve">Los contribuyentes </w:t>
            </w:r>
            <w:r w:rsidRPr="0018580E">
              <w:rPr>
                <w:rFonts w:ascii="Cambria" w:hAnsi="Cambria"/>
                <w:sz w:val="20"/>
                <w:szCs w:val="20"/>
                <w:highlight w:val="yellow"/>
              </w:rPr>
              <w:t>del impuesto sobre la renta  y comple</w:t>
            </w:r>
            <w:r>
              <w:rPr>
                <w:rFonts w:ascii="Cambria" w:hAnsi="Cambria"/>
                <w:sz w:val="20"/>
                <w:szCs w:val="20"/>
                <w:highlight w:val="yellow"/>
              </w:rPr>
              <w:t>m</w:t>
            </w:r>
            <w:r w:rsidRPr="0018580E">
              <w:rPr>
                <w:rFonts w:ascii="Cambria" w:hAnsi="Cambria"/>
                <w:sz w:val="20"/>
                <w:szCs w:val="20"/>
                <w:highlight w:val="yellow"/>
              </w:rPr>
              <w:t>entarios</w:t>
            </w:r>
            <w:r>
              <w:rPr>
                <w:rFonts w:ascii="Cambria" w:hAnsi="Cambria"/>
                <w:sz w:val="20"/>
                <w:szCs w:val="20"/>
              </w:rPr>
              <w:t xml:space="preserve"> </w:t>
            </w:r>
            <w:r w:rsidRPr="00FB05D6">
              <w:rPr>
                <w:rFonts w:ascii="Cambria" w:hAnsi="Cambria"/>
                <w:sz w:val="20"/>
                <w:szCs w:val="20"/>
              </w:rPr>
              <w:t xml:space="preserve">podrán incluir como renta líquida </w:t>
            </w:r>
            <w:r w:rsidRPr="00FB05D6">
              <w:rPr>
                <w:rFonts w:ascii="Cambria" w:hAnsi="Cambria"/>
                <w:sz w:val="20"/>
                <w:szCs w:val="20"/>
              </w:rPr>
              <w:lastRenderedPageBreak/>
              <w:t>gravable en la declaración de renta y complementarios o en las correcciones a que se refiere el artículo </w:t>
            </w:r>
            <w:hyperlink r:id="rId32" w:anchor="588" w:history="1">
              <w:r w:rsidRPr="00FB05D6">
                <w:rPr>
                  <w:rStyle w:val="Hipervnculo"/>
                  <w:rFonts w:ascii="Cambria" w:hAnsi="Cambria"/>
                  <w:color w:val="00A9E0"/>
                  <w:spacing w:val="2"/>
                  <w:sz w:val="20"/>
                  <w:szCs w:val="20"/>
                </w:rPr>
                <w:t>588</w:t>
              </w:r>
            </w:hyperlink>
            <w:r>
              <w:rPr>
                <w:rFonts w:ascii="Cambria" w:hAnsi="Cambria"/>
                <w:sz w:val="20"/>
                <w:szCs w:val="20"/>
              </w:rPr>
              <w:t xml:space="preserve"> </w:t>
            </w:r>
            <w:r w:rsidRPr="0018580E">
              <w:rPr>
                <w:rFonts w:ascii="Cambria" w:hAnsi="Cambria"/>
                <w:sz w:val="20"/>
                <w:szCs w:val="20"/>
                <w:highlight w:val="yellow"/>
              </w:rPr>
              <w:t>del Estatuto Tributario</w:t>
            </w:r>
            <w:r w:rsidRPr="00FB05D6">
              <w:rPr>
                <w:rFonts w:ascii="Cambria" w:hAnsi="Cambria"/>
                <w:sz w:val="20"/>
                <w:szCs w:val="20"/>
              </w:rPr>
              <w:t>, el valor de los activos omitidos</w:t>
            </w:r>
            <w:r>
              <w:rPr>
                <w:rFonts w:ascii="Cambria" w:hAnsi="Cambria"/>
                <w:sz w:val="20"/>
                <w:szCs w:val="20"/>
              </w:rPr>
              <w:t xml:space="preserve"> </w:t>
            </w:r>
            <w:r w:rsidRPr="0018580E">
              <w:rPr>
                <w:rFonts w:ascii="Cambria" w:hAnsi="Cambria"/>
                <w:sz w:val="20"/>
                <w:szCs w:val="20"/>
                <w:highlight w:val="yellow"/>
              </w:rPr>
              <w:t>o el mayor valor de los activos subvalorado</w:t>
            </w:r>
            <w:r>
              <w:rPr>
                <w:rFonts w:ascii="Cambria" w:hAnsi="Cambria"/>
                <w:sz w:val="20"/>
                <w:szCs w:val="20"/>
              </w:rPr>
              <w:t>s</w:t>
            </w:r>
            <w:r w:rsidRPr="00FB05D6">
              <w:rPr>
                <w:rFonts w:ascii="Cambria" w:hAnsi="Cambria"/>
                <w:sz w:val="20"/>
                <w:szCs w:val="20"/>
              </w:rPr>
              <w:t xml:space="preserve"> y los pasivos inexistentes originados en períodos no revisables</w:t>
            </w:r>
            <w:r>
              <w:rPr>
                <w:rFonts w:ascii="Cambria" w:hAnsi="Cambria"/>
                <w:sz w:val="20"/>
                <w:szCs w:val="20"/>
              </w:rPr>
              <w:t xml:space="preserve"> </w:t>
            </w:r>
            <w:r w:rsidRPr="0018580E">
              <w:rPr>
                <w:rFonts w:ascii="Cambria" w:hAnsi="Cambria"/>
                <w:sz w:val="20"/>
                <w:szCs w:val="20"/>
                <w:highlight w:val="yellow"/>
              </w:rPr>
              <w:t>o revisables</w:t>
            </w:r>
            <w:r w:rsidRPr="00FB05D6">
              <w:rPr>
                <w:rFonts w:ascii="Cambria" w:hAnsi="Cambria"/>
                <w:sz w:val="20"/>
                <w:szCs w:val="20"/>
              </w:rPr>
              <w:t>, adicionando el correspondiente valor como renta líquida gravable y liquidando el respectivo impuesto, sin que se genere renta por diferencia patrimonial.</w:t>
            </w: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sz w:val="20"/>
                <w:szCs w:val="20"/>
              </w:rPr>
            </w:pPr>
            <w:r w:rsidRPr="00FB05D6">
              <w:rPr>
                <w:rFonts w:ascii="Cambria" w:hAnsi="Cambria"/>
                <w:sz w:val="20"/>
                <w:szCs w:val="20"/>
              </w:rPr>
              <w:t>Cuando en desarrollo de las acciones de fiscalización, la Administración detecte pasivos inexistentes o activos omitidos</w:t>
            </w:r>
            <w:r>
              <w:rPr>
                <w:rFonts w:ascii="Cambria" w:hAnsi="Cambria"/>
                <w:sz w:val="20"/>
                <w:szCs w:val="20"/>
              </w:rPr>
              <w:t xml:space="preserve"> </w:t>
            </w:r>
            <w:r w:rsidRPr="0018580E">
              <w:rPr>
                <w:rFonts w:ascii="Cambria" w:hAnsi="Cambria"/>
                <w:sz w:val="20"/>
                <w:szCs w:val="20"/>
                <w:highlight w:val="yellow"/>
              </w:rPr>
              <w:t>o activos subvalorados</w:t>
            </w:r>
            <w:r w:rsidRPr="00FB05D6">
              <w:rPr>
                <w:rFonts w:ascii="Cambria" w:hAnsi="Cambria"/>
                <w:sz w:val="20"/>
                <w:szCs w:val="20"/>
              </w:rPr>
              <w:t xml:space="preserve"> por el contribuyente, el valor </w:t>
            </w:r>
            <w:r w:rsidRPr="0018580E">
              <w:rPr>
                <w:rFonts w:ascii="Cambria" w:hAnsi="Cambria"/>
                <w:sz w:val="20"/>
                <w:szCs w:val="20"/>
                <w:highlight w:val="yellow"/>
              </w:rPr>
              <w:t>o mayor valor</w:t>
            </w:r>
            <w:r>
              <w:rPr>
                <w:rFonts w:ascii="Cambria" w:hAnsi="Cambria"/>
                <w:sz w:val="20"/>
                <w:szCs w:val="20"/>
              </w:rPr>
              <w:t xml:space="preserve"> </w:t>
            </w:r>
            <w:r w:rsidRPr="00FB05D6">
              <w:rPr>
                <w:rFonts w:ascii="Cambria" w:hAnsi="Cambria"/>
                <w:sz w:val="20"/>
                <w:szCs w:val="20"/>
              </w:rPr>
              <w:t>de los mismos constituirá renta líquida gravable en el período gravable objeto de revisión. El mayor valor del impuesto a cargo determinado por este concepto generará la sanción por inexactitud.</w:t>
            </w: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color w:val="454545"/>
                <w:sz w:val="20"/>
                <w:szCs w:val="20"/>
              </w:rPr>
            </w:pPr>
            <w:r w:rsidRPr="00FB05D6">
              <w:rPr>
                <w:rFonts w:ascii="Cambria" w:hAnsi="Cambria"/>
                <w:sz w:val="20"/>
                <w:szCs w:val="20"/>
              </w:rPr>
              <w:t>Cuando el contribuyente incluya activos omitidos o excluya pasivos inexistentes sin declararlos como renta líquida gravable, la Administración procederá a adicionar la renta líquida gravable por tales valores y aplicará la sanción por inexactitud.</w:t>
            </w:r>
          </w:p>
          <w:p w:rsidR="00287157" w:rsidRDefault="00287157" w:rsidP="00287157">
            <w:pPr>
              <w:jc w:val="both"/>
              <w:rPr>
                <w:rFonts w:ascii="Cambria" w:hAnsi="Cambria"/>
                <w:sz w:val="20"/>
                <w:szCs w:val="20"/>
              </w:rPr>
            </w:pPr>
          </w:p>
          <w:p w:rsidR="00287157" w:rsidRPr="00FB05D6" w:rsidRDefault="00287157" w:rsidP="00287157">
            <w:pPr>
              <w:jc w:val="both"/>
              <w:rPr>
                <w:rFonts w:ascii="Cambria" w:hAnsi="Cambria"/>
                <w:sz w:val="20"/>
                <w:szCs w:val="20"/>
              </w:rPr>
            </w:pPr>
            <w:r>
              <w:rPr>
                <w:rFonts w:ascii="Cambria" w:hAnsi="Cambria"/>
                <w:sz w:val="20"/>
                <w:szCs w:val="20"/>
              </w:rPr>
              <w:t>L</w:t>
            </w:r>
            <w:r w:rsidRPr="00FB05D6">
              <w:rPr>
                <w:rFonts w:ascii="Cambria" w:hAnsi="Cambria"/>
                <w:sz w:val="20"/>
                <w:szCs w:val="20"/>
              </w:rPr>
              <w:t>a sanción por inexactitud a que se refieren los incisos segundo y tercero de este artículo, será equivalente al doscientos por ciento (200%) del mayor valor del impuesto a cargo determinado.</w:t>
            </w:r>
          </w:p>
          <w:p w:rsidR="00287157" w:rsidRDefault="00287157" w:rsidP="00287157">
            <w:pPr>
              <w:jc w:val="both"/>
              <w:rPr>
                <w:rFonts w:ascii="Cambria" w:hAnsi="Cambria" w:cstheme="minorHAnsi"/>
                <w:b/>
                <w:color w:val="000000" w:themeColor="text1"/>
                <w:sz w:val="20"/>
                <w:szCs w:val="20"/>
                <w:lang w:eastAsia="es-CO"/>
              </w:rPr>
            </w:pPr>
          </w:p>
          <w:p w:rsidR="00287157" w:rsidRPr="0018580E" w:rsidRDefault="00287157" w:rsidP="00287157">
            <w:pPr>
              <w:jc w:val="both"/>
              <w:rPr>
                <w:rFonts w:ascii="Cambria" w:hAnsi="Cambria"/>
                <w:sz w:val="20"/>
                <w:szCs w:val="20"/>
                <w:highlight w:val="yellow"/>
              </w:rPr>
            </w:pPr>
            <w:r w:rsidRPr="0018580E">
              <w:rPr>
                <w:rFonts w:ascii="Cambria" w:hAnsi="Cambria"/>
                <w:sz w:val="20"/>
                <w:szCs w:val="20"/>
                <w:highlight w:val="yellow"/>
              </w:rPr>
              <w:t xml:space="preserve">Parágrafo 1. En caso de que se verifique que el contribuyente no incluyó la totalidad de los activos omitidos, activos subvalorados o no excluyó la totalidad de los pasivos inexistentes, automáticamente se aplicará el tratamiento previsto en el inciso segundo de este artículo. En este último evento se podrá restar del valor del impuesto a cargo el valor del impuesto por ganancia ocasional efectivamente pagado por el contribuyente. </w:t>
            </w:r>
          </w:p>
          <w:p w:rsidR="00287157" w:rsidRPr="0018580E" w:rsidRDefault="00287157" w:rsidP="00287157">
            <w:pPr>
              <w:jc w:val="both"/>
              <w:rPr>
                <w:rFonts w:ascii="Cambria" w:hAnsi="Cambria"/>
                <w:sz w:val="20"/>
                <w:szCs w:val="20"/>
                <w:highlight w:val="yellow"/>
              </w:rPr>
            </w:pPr>
          </w:p>
          <w:p w:rsidR="00287157" w:rsidRPr="0018580E" w:rsidRDefault="00287157" w:rsidP="00287157">
            <w:pPr>
              <w:jc w:val="both"/>
              <w:rPr>
                <w:rFonts w:ascii="Cambria" w:hAnsi="Cambria"/>
                <w:sz w:val="20"/>
                <w:szCs w:val="20"/>
                <w:highlight w:val="yellow"/>
              </w:rPr>
            </w:pPr>
            <w:r w:rsidRPr="0018580E">
              <w:rPr>
                <w:rFonts w:ascii="Cambria" w:hAnsi="Cambria"/>
                <w:sz w:val="20"/>
                <w:szCs w:val="20"/>
                <w:highlight w:val="yellow"/>
              </w:rPr>
              <w:t xml:space="preserve">Parágrafo 2. La inclusión como ganancia ocasional en las declaraciones del Impuesto sobre la Renta y Complementarios del valor de los activos omitidos, activos subvalorados y los pasivos inexistentes originados en periodos no revisable establecida en el inciso primero del presente artículo no generará la imposición de sanciones de carácter cambiario. </w:t>
            </w:r>
          </w:p>
          <w:p w:rsidR="00287157" w:rsidRPr="0018580E" w:rsidRDefault="00287157" w:rsidP="00287157">
            <w:pPr>
              <w:jc w:val="both"/>
              <w:rPr>
                <w:rFonts w:ascii="Cambria" w:hAnsi="Cambria"/>
                <w:sz w:val="20"/>
                <w:szCs w:val="20"/>
                <w:highlight w:val="yellow"/>
              </w:rPr>
            </w:pPr>
          </w:p>
          <w:p w:rsidR="00287157" w:rsidRPr="0018580E" w:rsidRDefault="00287157" w:rsidP="00287157">
            <w:pPr>
              <w:jc w:val="both"/>
              <w:rPr>
                <w:rFonts w:ascii="Cambria" w:hAnsi="Cambria" w:cstheme="minorHAnsi"/>
                <w:b/>
                <w:color w:val="000000" w:themeColor="text1"/>
                <w:sz w:val="20"/>
                <w:szCs w:val="20"/>
                <w:lang w:eastAsia="es-CO"/>
              </w:rPr>
            </w:pPr>
            <w:r w:rsidRPr="0018580E">
              <w:rPr>
                <w:rFonts w:ascii="Cambria" w:hAnsi="Cambria"/>
                <w:sz w:val="20"/>
                <w:szCs w:val="20"/>
                <w:highlight w:val="yellow"/>
              </w:rPr>
              <w:t>Parágrafo 3. Tratándose de contribuyentes del impuesto unificado bajo el Régimen Simple de Tributación -SIMPLE, la tarifa aplicable a la base gravable determinada en el presente artículo, será la tarifa general del inciso 1 del artículo 240 del Estatuto Tributario.</w:t>
            </w:r>
          </w:p>
          <w:p w:rsidR="00287157" w:rsidRPr="00FB05D6" w:rsidRDefault="00287157" w:rsidP="00287157">
            <w:pPr>
              <w:jc w:val="both"/>
              <w:rPr>
                <w:rFonts w:ascii="Cambria" w:hAnsi="Cambria" w:cstheme="minorHAnsi"/>
                <w:b/>
                <w:color w:val="000000" w:themeColor="text1"/>
                <w:sz w:val="20"/>
                <w:szCs w:val="20"/>
                <w:lang w:eastAsia="es-CO"/>
              </w:rPr>
            </w:pPr>
          </w:p>
        </w:tc>
      </w:tr>
      <w:tr w:rsidR="00287157" w:rsidTr="0059378C">
        <w:tc>
          <w:tcPr>
            <w:tcW w:w="4958" w:type="dxa"/>
          </w:tcPr>
          <w:p w:rsidR="00287157" w:rsidRPr="009248F1" w:rsidRDefault="00287157" w:rsidP="00287157">
            <w:pPr>
              <w:jc w:val="both"/>
              <w:rPr>
                <w:rFonts w:ascii="Cambria" w:hAnsi="Cambria"/>
                <w:sz w:val="20"/>
                <w:szCs w:val="20"/>
              </w:rPr>
            </w:pPr>
            <w:r w:rsidRPr="009248F1">
              <w:rPr>
                <w:rFonts w:ascii="Cambria" w:hAnsi="Cambria"/>
                <w:b/>
                <w:bCs/>
                <w:sz w:val="20"/>
                <w:szCs w:val="20"/>
              </w:rPr>
              <w:lastRenderedPageBreak/>
              <w:t xml:space="preserve">Artículo 240. Tarifa general para personas jurídicas. </w:t>
            </w:r>
            <w:r w:rsidRPr="009248F1">
              <w:rPr>
                <w:rFonts w:ascii="Cambria" w:hAnsi="Cambria"/>
                <w:sz w:val="20"/>
                <w:szCs w:val="20"/>
              </w:rPr>
              <w:t>La tarifa general del impuesto sobre la renta aplicable a las sociedades nacionales y sus asimiladas, los establecimientos permanentes de entidades del exterior y las personas jurídicas extranjeras con o sin residencia en el país, obligadas a presentar la declaración anual del impuesto sobre la renta y complementarios, será del treinta y cinco por ciento (35%). </w:t>
            </w:r>
          </w:p>
          <w:p w:rsidR="00287157" w:rsidRPr="009248F1" w:rsidRDefault="00287157" w:rsidP="00287157">
            <w:pPr>
              <w:jc w:val="both"/>
              <w:rPr>
                <w:rFonts w:ascii="Cambria" w:hAnsi="Cambria"/>
                <w:b/>
                <w:bCs/>
                <w:sz w:val="20"/>
                <w:szCs w:val="20"/>
              </w:rPr>
            </w:pPr>
          </w:p>
          <w:p w:rsidR="00287157" w:rsidRDefault="00287157" w:rsidP="00287157">
            <w:pPr>
              <w:jc w:val="both"/>
              <w:rPr>
                <w:rFonts w:ascii="Cambria" w:hAnsi="Cambria"/>
                <w:b/>
                <w:bCs/>
                <w:sz w:val="20"/>
                <w:szCs w:val="20"/>
              </w:rPr>
            </w:pPr>
          </w:p>
          <w:p w:rsidR="00287157" w:rsidRDefault="00287157" w:rsidP="00287157">
            <w:pPr>
              <w:jc w:val="both"/>
              <w:rPr>
                <w:rFonts w:ascii="Cambria" w:hAnsi="Cambria"/>
                <w:b/>
                <w:bCs/>
                <w:sz w:val="20"/>
                <w:szCs w:val="20"/>
              </w:rPr>
            </w:pP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bCs/>
                <w:sz w:val="20"/>
                <w:szCs w:val="20"/>
              </w:rPr>
              <w:t>PARÁGRAFO 1</w:t>
            </w:r>
            <w:r w:rsidRPr="009248F1">
              <w:rPr>
                <w:rFonts w:ascii="Cambria" w:hAnsi="Cambria"/>
                <w:sz w:val="20"/>
                <w:szCs w:val="20"/>
              </w:rPr>
              <w:t>. Estarán gravadas a la tarifa del 9% las rentas obtenidas por las empresas industriales y comerciales del Estado y las sociedades de economía mixta del orden Departamental, Municipal y Distrital, en las cuales la participación del Estado sea superior del 90% que ejerzan los monopolios de suerte y azar y de licores y alcoholes.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bCs/>
                <w:sz w:val="20"/>
                <w:szCs w:val="20"/>
              </w:rPr>
              <w:t xml:space="preserve">PARÁGRAFO 2. </w:t>
            </w:r>
            <w:r w:rsidRPr="009248F1">
              <w:rPr>
                <w:rFonts w:ascii="Cambria" w:hAnsi="Cambria"/>
                <w:sz w:val="20"/>
                <w:szCs w:val="20"/>
              </w:rPr>
              <w:t xml:space="preserve">Las instituciones financieras, las entidades aseguradoras y reaseguradoras, las sociedades comisionistas de bolsa de valores, las sociedades comisionistas agropecuarias, las bolsas de bienes y productos agropecuarios, agroindustriales o de otros </w:t>
            </w:r>
            <w:proofErr w:type="spellStart"/>
            <w:r w:rsidRPr="009248F1">
              <w:rPr>
                <w:rFonts w:ascii="Cambria" w:hAnsi="Cambria"/>
                <w:sz w:val="20"/>
                <w:szCs w:val="20"/>
              </w:rPr>
              <w:t>commodities</w:t>
            </w:r>
            <w:proofErr w:type="spellEnd"/>
            <w:r w:rsidRPr="009248F1">
              <w:rPr>
                <w:rFonts w:ascii="Cambria" w:hAnsi="Cambria"/>
                <w:sz w:val="20"/>
                <w:szCs w:val="20"/>
              </w:rPr>
              <w:t xml:space="preserve"> y los proveedores de infraestructura del mercado de valores deberán liquidar </w:t>
            </w:r>
            <w:r w:rsidRPr="009248F1">
              <w:rPr>
                <w:rFonts w:ascii="Cambria" w:hAnsi="Cambria"/>
                <w:sz w:val="20"/>
                <w:szCs w:val="20"/>
                <w:highlight w:val="yellow"/>
              </w:rPr>
              <w:t>cinco (5)</w:t>
            </w:r>
            <w:r w:rsidRPr="009248F1">
              <w:rPr>
                <w:rFonts w:ascii="Cambria" w:hAnsi="Cambria"/>
                <w:sz w:val="20"/>
                <w:szCs w:val="20"/>
              </w:rPr>
              <w:t xml:space="preserve"> puntos adicionales al impuesto sobre la renta y complementarios </w:t>
            </w:r>
            <w:r w:rsidRPr="009248F1">
              <w:rPr>
                <w:rFonts w:ascii="Cambria" w:hAnsi="Cambria"/>
                <w:sz w:val="20"/>
                <w:szCs w:val="20"/>
                <w:highlight w:val="yellow"/>
              </w:rPr>
              <w:t>durante los periodos gravables 2023, 2024, 2025, 2026 y 2027</w:t>
            </w:r>
            <w:r w:rsidRPr="009248F1">
              <w:rPr>
                <w:rFonts w:ascii="Cambria" w:hAnsi="Cambria"/>
                <w:sz w:val="20"/>
                <w:szCs w:val="20"/>
              </w:rPr>
              <w:t xml:space="preserve">, siendo en total la tarifa del </w:t>
            </w:r>
            <w:r w:rsidRPr="009248F1">
              <w:rPr>
                <w:rFonts w:ascii="Cambria" w:hAnsi="Cambria"/>
                <w:sz w:val="20"/>
                <w:szCs w:val="20"/>
                <w:highlight w:val="yellow"/>
              </w:rPr>
              <w:t>cuarenta por ciento (40%).</w:t>
            </w:r>
            <w:r w:rsidRPr="009248F1">
              <w:rPr>
                <w:rFonts w:ascii="Cambria" w:hAnsi="Cambria"/>
                <w:sz w:val="20"/>
                <w:szCs w:val="20"/>
              </w:rPr>
              <w:t>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Los puntos adicionales de los que trata el presente parágrafo solo son aplicables a las personas jurídicas que, en el año gravable correspondiente, tengan una renta gravable igual o superior a 120.000 UVT.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de que trata este parágrafo está sujeta a un anticipo del ciento por ciento (100%) del valor de la misma, calculado sobre la base gravable del impuesto sobre la renta y complementarios sobre la cual el contribuyente liquidó el mencionado impuesto para el año gravable inmediatamente anterior. El anticipo de la sobretasa del impuesto sobre la renta y complementarios deberá pagarse en dos cuotas iguales anuales en los plazos que fije el reglamento. </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Con el fin de contribuir al bienestar general y al mejoramiento de la calidad de vida de la población, 3 puntos del recaudo por concepto de la sobretasa de que trata este parágrafo se destinará a la financiación de vías de la Red Vial Terciaria. El Gobierno nacional determinará las condiciones y la forma de asignación de </w:t>
            </w:r>
            <w:r w:rsidRPr="009248F1">
              <w:rPr>
                <w:rFonts w:ascii="Cambria" w:hAnsi="Cambria"/>
                <w:sz w:val="20"/>
                <w:szCs w:val="20"/>
              </w:rPr>
              <w:lastRenderedPageBreak/>
              <w:t>los recursos recaudados, así como el mecanismo para la ejecución de los mismos, dando prioridad en todo caso a los proyectos viales de municipios PDET.</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PARÁGRAFO 3. Las sociedades nacionales y sus asimiladas, los establecimientos permanentes de entidades del exterior y las personas jurídicas extranjeras con o sin residencia en el país, deberán adicionar a la tarifa general del impuesto sobre la renta unos puntos adicionales, cuando desarrollen alguna o algunas de las siguientes actividades económicas,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1. Extracción de hulla (carbón de piedra) CIIU – 0510 y extracción de </w:t>
            </w:r>
            <w:proofErr w:type="spellStart"/>
            <w:r w:rsidRPr="009248F1">
              <w:rPr>
                <w:rFonts w:ascii="Cambria" w:hAnsi="Cambria"/>
                <w:sz w:val="20"/>
                <w:szCs w:val="20"/>
              </w:rPr>
              <w:t>carbónlignito</w:t>
            </w:r>
            <w:proofErr w:type="spellEnd"/>
            <w:r w:rsidRPr="009248F1">
              <w:rPr>
                <w:rFonts w:ascii="Cambria" w:hAnsi="Cambria"/>
                <w:sz w:val="20"/>
                <w:szCs w:val="20"/>
              </w:rPr>
              <w:t xml:space="preserve"> CIIU – 0520,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tbl>
            <w:tblPr>
              <w:tblStyle w:val="Tablaconcuadrcula"/>
              <w:tblW w:w="0" w:type="auto"/>
              <w:tblLook w:val="04A0" w:firstRow="1" w:lastRow="0" w:firstColumn="1" w:lastColumn="0" w:noHBand="0" w:noVBand="1"/>
            </w:tblPr>
            <w:tblGrid>
              <w:gridCol w:w="1178"/>
              <w:gridCol w:w="3441"/>
            </w:tblGrid>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en la tarifa</w:t>
                  </w:r>
                </w:p>
                <w:p w:rsidR="00287157" w:rsidRPr="009248F1" w:rsidRDefault="00287157" w:rsidP="00287157">
                  <w:pPr>
                    <w:rPr>
                      <w:rFonts w:ascii="Cambria" w:hAnsi="Cambria"/>
                      <w:sz w:val="20"/>
                      <w:szCs w:val="20"/>
                    </w:rPr>
                  </w:pPr>
                  <w:r w:rsidRPr="009248F1">
                    <w:rPr>
                      <w:rFonts w:ascii="Cambria" w:hAnsi="Cambria"/>
                      <w:sz w:val="20"/>
                      <w:szCs w:val="20"/>
                    </w:rPr>
                    <w:t>del</w:t>
                  </w:r>
                </w:p>
                <w:p w:rsidR="00287157" w:rsidRPr="009248F1" w:rsidRDefault="00287157" w:rsidP="00287157">
                  <w:pPr>
                    <w:rPr>
                      <w:rFonts w:ascii="Cambria" w:hAnsi="Cambria"/>
                      <w:sz w:val="20"/>
                      <w:szCs w:val="20"/>
                    </w:rPr>
                  </w:pPr>
                  <w:r w:rsidRPr="009248F1">
                    <w:rPr>
                      <w:rFonts w:ascii="Cambria" w:hAnsi="Cambria"/>
                      <w:sz w:val="20"/>
                      <w:szCs w:val="20"/>
                    </w:rPr>
                    <w:t>impuesto</w:t>
                  </w:r>
                </w:p>
                <w:p w:rsidR="00287157" w:rsidRPr="009248F1" w:rsidRDefault="00287157" w:rsidP="00287157">
                  <w:pPr>
                    <w:rPr>
                      <w:rFonts w:ascii="Cambria" w:hAnsi="Cambria"/>
                      <w:sz w:val="20"/>
                      <w:szCs w:val="20"/>
                    </w:rPr>
                  </w:pPr>
                  <w:r w:rsidRPr="009248F1">
                    <w:rPr>
                      <w:rFonts w:ascii="Cambria" w:hAnsi="Cambria"/>
                      <w:sz w:val="20"/>
                      <w:szCs w:val="20"/>
                    </w:rPr>
                    <w:t>sobre la</w:t>
                  </w:r>
                </w:p>
                <w:p w:rsidR="00287157" w:rsidRPr="009248F1" w:rsidRDefault="00287157" w:rsidP="00287157">
                  <w:pPr>
                    <w:rPr>
                      <w:rFonts w:ascii="Cambria" w:hAnsi="Cambria"/>
                      <w:sz w:val="20"/>
                      <w:szCs w:val="20"/>
                    </w:rPr>
                  </w:pPr>
                  <w:r w:rsidRPr="009248F1">
                    <w:rPr>
                      <w:rFonts w:ascii="Cambria" w:hAnsi="Cambria"/>
                      <w:sz w:val="20"/>
                      <w:szCs w:val="20"/>
                    </w:rPr>
                    <w:t>renta</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rPr>
                      <w:rFonts w:ascii="Cambria" w:hAnsi="Cambria"/>
                      <w:sz w:val="20"/>
                      <w:szCs w:val="20"/>
                    </w:rPr>
                  </w:pPr>
                  <w:r w:rsidRPr="009248F1">
                    <w:rPr>
                      <w:rFonts w:ascii="Cambria" w:hAnsi="Cambria"/>
                      <w:sz w:val="20"/>
                      <w:szCs w:val="20"/>
                    </w:rPr>
                    <w:t>Condición de adición de los puntos adicionales</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Cero (</w:t>
                  </w:r>
                  <w:r w:rsidRPr="009248F1">
                    <w:rPr>
                      <w:rFonts w:ascii="Cambria" w:hAnsi="Cambria"/>
                      <w:sz w:val="20"/>
                      <w:szCs w:val="20"/>
                    </w:rPr>
                    <w:t>0</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Cero por ciento </w:t>
                  </w:r>
                  <w:r w:rsidRPr="009248F1">
                    <w:rPr>
                      <w:rFonts w:ascii="Cambria" w:hAnsi="Cambria"/>
                      <w:sz w:val="20"/>
                      <w:szCs w:val="20"/>
                    </w:rPr>
                    <w:t>(0%)</w:t>
                  </w:r>
                </w:p>
                <w:p w:rsidR="00287157" w:rsidRPr="009248F1" w:rsidRDefault="00287157" w:rsidP="00287157">
                  <w:pPr>
                    <w:tabs>
                      <w:tab w:val="left" w:pos="413"/>
                    </w:tabs>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por debajo del percentil </w:t>
                  </w:r>
                  <w:r w:rsidRPr="00172FAC">
                    <w:rPr>
                      <w:rFonts w:ascii="Cambria" w:hAnsi="Cambria"/>
                      <w:sz w:val="20"/>
                      <w:szCs w:val="20"/>
                      <w:highlight w:val="yellow"/>
                    </w:rPr>
                    <w:t>sesenta y cinco (</w:t>
                  </w:r>
                  <w:r w:rsidRPr="00172FAC">
                    <w:rPr>
                      <w:rFonts w:ascii="Cambria" w:hAnsi="Cambria"/>
                      <w:color w:val="000000" w:themeColor="text1"/>
                      <w:sz w:val="20"/>
                      <w:szCs w:val="20"/>
                      <w:highlight w:val="yellow"/>
                    </w:rPr>
                    <w:t>65)</w:t>
                  </w:r>
                  <w:r w:rsidRPr="009248F1">
                    <w:rPr>
                      <w:rFonts w:ascii="Cambria" w:hAnsi="Cambria"/>
                      <w:color w:val="000000" w:themeColor="text1"/>
                      <w:sz w:val="20"/>
                      <w:szCs w:val="20"/>
                    </w:rPr>
                    <w:t xml:space="preserve"> d</w:t>
                  </w:r>
                  <w:r w:rsidRPr="009248F1">
                    <w:rPr>
                      <w:rFonts w:ascii="Cambria" w:hAnsi="Cambria"/>
                      <w:sz w:val="20"/>
                      <w:szCs w:val="20"/>
                    </w:rPr>
                    <w:t xml:space="preserve">e los precios promedio mensuales de los últimos </w:t>
                  </w:r>
                  <w:r>
                    <w:rPr>
                      <w:rFonts w:ascii="Cambria" w:hAnsi="Cambria"/>
                      <w:sz w:val="20"/>
                      <w:szCs w:val="20"/>
                    </w:rPr>
                    <w:t>ciento veinte (</w:t>
                  </w:r>
                  <w:r w:rsidRPr="009248F1">
                    <w:rPr>
                      <w:rFonts w:ascii="Cambria" w:hAnsi="Cambria"/>
                      <w:sz w:val="20"/>
                      <w:szCs w:val="20"/>
                    </w:rPr>
                    <w:t>120</w:t>
                  </w:r>
                  <w:r>
                    <w:rPr>
                      <w:rFonts w:ascii="Cambria" w:hAnsi="Cambria"/>
                      <w:sz w:val="20"/>
                      <w:szCs w:val="20"/>
                    </w:rPr>
                    <w:t>)</w:t>
                  </w:r>
                  <w:r w:rsidRPr="009248F1">
                    <w:rPr>
                      <w:rFonts w:ascii="Cambria" w:hAnsi="Cambria"/>
                      <w:sz w:val="20"/>
                      <w:szCs w:val="20"/>
                    </w:rPr>
                    <w:t xml:space="preserve"> meses, sin incluir 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Cinco (</w:t>
                  </w:r>
                  <w:r w:rsidRPr="009248F1">
                    <w:rPr>
                      <w:rFonts w:ascii="Cambria" w:hAnsi="Cambria"/>
                      <w:sz w:val="20"/>
                      <w:szCs w:val="20"/>
                    </w:rPr>
                    <w:t>5</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Cinco por ciento </w:t>
                  </w:r>
                  <w:r w:rsidRPr="009248F1">
                    <w:rPr>
                      <w:rFonts w:ascii="Cambria" w:hAnsi="Cambria"/>
                      <w:sz w:val="20"/>
                      <w:szCs w:val="20"/>
                    </w:rPr>
                    <w:t>(5%)</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entre el </w:t>
                  </w:r>
                  <w:r w:rsidRPr="009248F1">
                    <w:rPr>
                      <w:rFonts w:ascii="Cambria" w:hAnsi="Cambria"/>
                      <w:color w:val="000000" w:themeColor="text1"/>
                      <w:sz w:val="20"/>
                      <w:szCs w:val="20"/>
                    </w:rPr>
                    <w:t xml:space="preserve">percentil </w:t>
                  </w:r>
                  <w:r w:rsidRPr="00172FAC">
                    <w:rPr>
                      <w:rFonts w:ascii="Cambria" w:hAnsi="Cambria"/>
                      <w:color w:val="000000" w:themeColor="text1"/>
                      <w:sz w:val="20"/>
                      <w:szCs w:val="20"/>
                      <w:highlight w:val="yellow"/>
                    </w:rPr>
                    <w:t>sesenta y cinco (65) y setenta y cinco (75)</w:t>
                  </w:r>
                  <w:r w:rsidRPr="009248F1">
                    <w:rPr>
                      <w:rFonts w:ascii="Cambria" w:hAnsi="Cambria"/>
                      <w:color w:val="000000" w:themeColor="text1"/>
                      <w:sz w:val="20"/>
                      <w:szCs w:val="20"/>
                    </w:rPr>
                    <w:t xml:space="preserve"> de </w:t>
                  </w:r>
                  <w:r w:rsidRPr="009248F1">
                    <w:rPr>
                      <w:rFonts w:ascii="Cambria" w:hAnsi="Cambria"/>
                      <w:sz w:val="20"/>
                      <w:szCs w:val="20"/>
                    </w:rPr>
                    <w:t>los precios promedio mensuales de los últimos</w:t>
                  </w:r>
                  <w:r>
                    <w:rPr>
                      <w:rFonts w:ascii="Cambria" w:hAnsi="Cambria"/>
                      <w:sz w:val="20"/>
                      <w:szCs w:val="20"/>
                    </w:rPr>
                    <w:t xml:space="preserve"> ciento veinte</w:t>
                  </w:r>
                  <w:r w:rsidRPr="009248F1">
                    <w:rPr>
                      <w:rFonts w:ascii="Cambria" w:hAnsi="Cambria"/>
                      <w:sz w:val="20"/>
                      <w:szCs w:val="20"/>
                    </w:rPr>
                    <w:t xml:space="preserve"> </w:t>
                  </w:r>
                  <w:r>
                    <w:rPr>
                      <w:rFonts w:ascii="Cambria" w:hAnsi="Cambria"/>
                      <w:sz w:val="20"/>
                      <w:szCs w:val="20"/>
                    </w:rPr>
                    <w:t>(</w:t>
                  </w:r>
                  <w:r w:rsidRPr="009248F1">
                    <w:rPr>
                      <w:rFonts w:ascii="Cambria" w:hAnsi="Cambria"/>
                      <w:sz w:val="20"/>
                      <w:szCs w:val="20"/>
                    </w:rPr>
                    <w:t>120</w:t>
                  </w:r>
                  <w:r>
                    <w:rPr>
                      <w:rFonts w:ascii="Cambria" w:hAnsi="Cambria"/>
                      <w:sz w:val="20"/>
                      <w:szCs w:val="20"/>
                    </w:rPr>
                    <w:t>) meses</w:t>
                  </w:r>
                  <w:r w:rsidRPr="009248F1">
                    <w:rPr>
                      <w:rFonts w:ascii="Cambria" w:hAnsi="Cambria"/>
                      <w:sz w:val="20"/>
                      <w:szCs w:val="20"/>
                    </w:rPr>
                    <w:t>, sin incluir 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Diez (</w:t>
                  </w:r>
                  <w:r w:rsidRPr="009248F1">
                    <w:rPr>
                      <w:rFonts w:ascii="Cambria" w:hAnsi="Cambria"/>
                      <w:sz w:val="20"/>
                      <w:szCs w:val="20"/>
                    </w:rPr>
                    <w:t>10</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Diez por ciento </w:t>
                  </w:r>
                  <w:r w:rsidRPr="009248F1">
                    <w:rPr>
                      <w:rFonts w:ascii="Cambria" w:hAnsi="Cambria"/>
                      <w:sz w:val="20"/>
                      <w:szCs w:val="20"/>
                    </w:rPr>
                    <w:t>(10%)</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por </w:t>
                  </w:r>
                  <w:r w:rsidRPr="006B10FA">
                    <w:rPr>
                      <w:rFonts w:ascii="Cambria" w:hAnsi="Cambria"/>
                      <w:sz w:val="20"/>
                      <w:szCs w:val="20"/>
                      <w:highlight w:val="yellow"/>
                    </w:rPr>
                    <w:t xml:space="preserve">encima del </w:t>
                  </w:r>
                  <w:r w:rsidRPr="006B10FA">
                    <w:rPr>
                      <w:rFonts w:ascii="Cambria" w:hAnsi="Cambria"/>
                      <w:color w:val="000000" w:themeColor="text1"/>
                      <w:sz w:val="20"/>
                      <w:szCs w:val="20"/>
                      <w:highlight w:val="yellow"/>
                    </w:rPr>
                    <w:t>percentil sentencia y cinco (75)</w:t>
                  </w:r>
                  <w:r w:rsidRPr="009248F1">
                    <w:rPr>
                      <w:rFonts w:ascii="Cambria" w:hAnsi="Cambria"/>
                      <w:color w:val="000000" w:themeColor="text1"/>
                      <w:sz w:val="20"/>
                      <w:szCs w:val="20"/>
                    </w:rPr>
                    <w:t xml:space="preserve"> de los </w:t>
                  </w:r>
                  <w:r w:rsidRPr="009248F1">
                    <w:rPr>
                      <w:rFonts w:ascii="Cambria" w:hAnsi="Cambria"/>
                      <w:sz w:val="20"/>
                      <w:szCs w:val="20"/>
                    </w:rPr>
                    <w:t>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tc>
            </w:tr>
          </w:tbl>
          <w:p w:rsidR="00287157" w:rsidRPr="009248F1"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Los precios de la tabla anterior para las actividades económicas extracción de hulla (carbón de piedra) CIIU - 0510 y extracción de carbón lignito CIIU – 0520, corresponderán al precio promedio internacional del carbón de referencia API2, restado por el valor del flete BCI7 (API2 – BCI7) USD/Tonelada, deflactado con el Índice de Precios al Consumidor para todos los consumidores urbanos de los Estados Unidos de América, publicado por la Oficina de Estadísticas Laborales de ese país.</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Extracción de petróleo crudo CIIU – 0610, así:</w:t>
            </w:r>
          </w:p>
          <w:p w:rsidR="00287157" w:rsidRPr="009248F1" w:rsidRDefault="00287157" w:rsidP="00287157">
            <w:pPr>
              <w:jc w:val="both"/>
              <w:rPr>
                <w:rFonts w:ascii="Cambria" w:hAnsi="Cambria" w:cstheme="minorHAnsi"/>
                <w:b/>
                <w:color w:val="000000" w:themeColor="text1"/>
                <w:sz w:val="20"/>
                <w:szCs w:val="20"/>
                <w:lang w:eastAsia="es-CO"/>
              </w:rPr>
            </w:pPr>
          </w:p>
          <w:tbl>
            <w:tblPr>
              <w:tblStyle w:val="Tablaconcuadrcula"/>
              <w:tblW w:w="0" w:type="auto"/>
              <w:tblLook w:val="04A0" w:firstRow="1" w:lastRow="0" w:firstColumn="1" w:lastColumn="0" w:noHBand="0" w:noVBand="1"/>
            </w:tblPr>
            <w:tblGrid>
              <w:gridCol w:w="1178"/>
              <w:gridCol w:w="3441"/>
            </w:tblGrid>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en la tarifa</w:t>
                  </w:r>
                </w:p>
                <w:p w:rsidR="00287157" w:rsidRPr="009248F1" w:rsidRDefault="00287157" w:rsidP="00287157">
                  <w:pPr>
                    <w:rPr>
                      <w:rFonts w:ascii="Cambria" w:hAnsi="Cambria"/>
                      <w:sz w:val="20"/>
                      <w:szCs w:val="20"/>
                    </w:rPr>
                  </w:pPr>
                  <w:r w:rsidRPr="009248F1">
                    <w:rPr>
                      <w:rFonts w:ascii="Cambria" w:hAnsi="Cambria"/>
                      <w:sz w:val="20"/>
                      <w:szCs w:val="20"/>
                    </w:rPr>
                    <w:t>del</w:t>
                  </w:r>
                </w:p>
                <w:p w:rsidR="00287157" w:rsidRPr="009248F1" w:rsidRDefault="00287157" w:rsidP="00287157">
                  <w:pPr>
                    <w:rPr>
                      <w:rFonts w:ascii="Cambria" w:hAnsi="Cambria"/>
                      <w:sz w:val="20"/>
                      <w:szCs w:val="20"/>
                    </w:rPr>
                  </w:pPr>
                  <w:r w:rsidRPr="009248F1">
                    <w:rPr>
                      <w:rFonts w:ascii="Cambria" w:hAnsi="Cambria"/>
                      <w:sz w:val="20"/>
                      <w:szCs w:val="20"/>
                    </w:rPr>
                    <w:t>impuesto</w:t>
                  </w:r>
                </w:p>
                <w:p w:rsidR="00287157" w:rsidRPr="009248F1" w:rsidRDefault="00287157" w:rsidP="00287157">
                  <w:pPr>
                    <w:rPr>
                      <w:rFonts w:ascii="Cambria" w:hAnsi="Cambria"/>
                      <w:sz w:val="20"/>
                      <w:szCs w:val="20"/>
                    </w:rPr>
                  </w:pPr>
                  <w:r w:rsidRPr="009248F1">
                    <w:rPr>
                      <w:rFonts w:ascii="Cambria" w:hAnsi="Cambria"/>
                      <w:sz w:val="20"/>
                      <w:szCs w:val="20"/>
                    </w:rPr>
                    <w:t>sobre la</w:t>
                  </w:r>
                </w:p>
                <w:p w:rsidR="00287157" w:rsidRPr="009248F1" w:rsidRDefault="00287157" w:rsidP="00287157">
                  <w:pPr>
                    <w:rPr>
                      <w:rFonts w:ascii="Cambria" w:hAnsi="Cambria"/>
                      <w:sz w:val="20"/>
                      <w:szCs w:val="20"/>
                    </w:rPr>
                  </w:pPr>
                  <w:r w:rsidRPr="009248F1">
                    <w:rPr>
                      <w:rFonts w:ascii="Cambria" w:hAnsi="Cambria"/>
                      <w:sz w:val="20"/>
                      <w:szCs w:val="20"/>
                    </w:rPr>
                    <w:t>renta</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rPr>
                      <w:rFonts w:ascii="Cambria" w:hAnsi="Cambria"/>
                      <w:sz w:val="20"/>
                      <w:szCs w:val="20"/>
                    </w:rPr>
                  </w:pPr>
                  <w:r w:rsidRPr="009248F1">
                    <w:rPr>
                      <w:rFonts w:ascii="Cambria" w:hAnsi="Cambria"/>
                      <w:sz w:val="20"/>
                      <w:szCs w:val="20"/>
                    </w:rPr>
                    <w:t>Condición de adición de los puntos adicionales</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0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(0%)</w:t>
                  </w:r>
                </w:p>
                <w:p w:rsidR="00287157" w:rsidRPr="009248F1" w:rsidRDefault="00287157" w:rsidP="00287157">
                  <w:pPr>
                    <w:tabs>
                      <w:tab w:val="left" w:pos="413"/>
                    </w:tabs>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debajo del percentil 30 de los precios promedio mensuales de los últimos 120 meses, sin incluir</w:t>
                  </w:r>
                </w:p>
                <w:p w:rsidR="00287157" w:rsidRPr="009248F1" w:rsidRDefault="00287157" w:rsidP="00287157">
                  <w:pPr>
                    <w:jc w:val="both"/>
                    <w:rPr>
                      <w:rFonts w:ascii="Cambria" w:hAnsi="Cambria"/>
                      <w:sz w:val="20"/>
                      <w:szCs w:val="20"/>
                    </w:rPr>
                  </w:pPr>
                  <w:r w:rsidRPr="009248F1">
                    <w:rPr>
                      <w:rFonts w:ascii="Cambria" w:hAnsi="Cambria"/>
                      <w:sz w:val="20"/>
                      <w:szCs w:val="20"/>
                    </w:rPr>
                    <w:t>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5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(5%)</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entre el percentil 30 y 45 de los precios promedio mensuales de los últimos 120 meses, sin incluir el precio de los </w:t>
                  </w:r>
                  <w:r w:rsidRPr="009248F1">
                    <w:rPr>
                      <w:rFonts w:ascii="Cambria" w:hAnsi="Cambria"/>
                      <w:sz w:val="20"/>
                      <w:szCs w:val="20"/>
                    </w:rPr>
                    <w:lastRenderedPageBreak/>
                    <w:t>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lastRenderedPageBreak/>
                    <w:t>10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(10%)</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encima del percentil 45 y entre el percentil 60 de los precios promedio mensuales de los últimos 120 meses, sin incluir el precio de los meses transcurridos en el</w:t>
                  </w:r>
                </w:p>
                <w:p w:rsidR="00287157" w:rsidRPr="009248F1" w:rsidRDefault="00287157" w:rsidP="00287157">
                  <w:pPr>
                    <w:jc w:val="both"/>
                    <w:rPr>
                      <w:rFonts w:ascii="Cambria" w:hAnsi="Cambria"/>
                      <w:sz w:val="20"/>
                      <w:szCs w:val="20"/>
                    </w:rPr>
                  </w:pPr>
                  <w:r w:rsidRPr="009248F1">
                    <w:rPr>
                      <w:rFonts w:ascii="Cambria" w:hAnsi="Cambria"/>
                      <w:sz w:val="20"/>
                      <w:szCs w:val="20"/>
                    </w:rPr>
                    <w:t>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15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(15%)</w:t>
                  </w: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encima del percentil 60 de los precios promedio mensuales de los últimos 120 meses, sin incluir</w:t>
                  </w:r>
                </w:p>
                <w:p w:rsidR="00287157" w:rsidRPr="009248F1" w:rsidRDefault="00287157" w:rsidP="00287157">
                  <w:pPr>
                    <w:jc w:val="both"/>
                    <w:rPr>
                      <w:rFonts w:ascii="Cambria" w:hAnsi="Cambria"/>
                      <w:sz w:val="20"/>
                      <w:szCs w:val="20"/>
                    </w:rPr>
                  </w:pPr>
                  <w:r w:rsidRPr="009248F1">
                    <w:rPr>
                      <w:rFonts w:ascii="Cambria" w:hAnsi="Cambria"/>
                      <w:sz w:val="20"/>
                      <w:szCs w:val="20"/>
                    </w:rPr>
                    <w:t>el precio de los meses transcurridos en el año de la declaración</w:t>
                  </w:r>
                </w:p>
                <w:p w:rsidR="00287157" w:rsidRPr="009248F1" w:rsidRDefault="00287157" w:rsidP="00287157">
                  <w:pPr>
                    <w:jc w:val="both"/>
                    <w:rPr>
                      <w:rFonts w:ascii="Cambria" w:hAnsi="Cambria"/>
                      <w:sz w:val="20"/>
                      <w:szCs w:val="20"/>
                    </w:rPr>
                  </w:pPr>
                </w:p>
              </w:tc>
            </w:tr>
          </w:tbl>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Los precios promedio de la tabla anterior para la actividad económica extracción de petróleo crudo CIIU – 0610 corresponderán al precio promedio internacional del petróleo crudo de referencia Brent USD/Barril, deflactado con el Índice de Precios al Consumidor para todos los consumidores urbanos de los Estados Unidos de América, publicado por la Oficina de Estadísticas Laborales de ese país.</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Para la aplicación de los puntos adicionales, la Unidad de Planeación Minero Energética, en el caso de las actividades de extracción de hulla (carbón de piedra) CIIU – 0510 y extracción de carbón lignito CIIU – 0520, y la Agencia Nacional de Hidrocarburos, para el caso de la actividad económica de extracción de petróleo crudo CIIU – 0610, publicarán a </w:t>
            </w:r>
            <w:proofErr w:type="spellStart"/>
            <w:r w:rsidRPr="009248F1">
              <w:rPr>
                <w:rFonts w:ascii="Cambria" w:hAnsi="Cambria"/>
                <w:sz w:val="20"/>
                <w:szCs w:val="20"/>
              </w:rPr>
              <w:t>mas</w:t>
            </w:r>
            <w:proofErr w:type="spellEnd"/>
            <w:r w:rsidRPr="009248F1">
              <w:rPr>
                <w:rFonts w:ascii="Cambria" w:hAnsi="Cambria"/>
                <w:sz w:val="20"/>
                <w:szCs w:val="20"/>
              </w:rPr>
              <w:t xml:space="preserve"> tardar, el último día hábil de enero de cada año, mediante resolución, la información correspondiente a los precios promedio del año gravable inmediatamente anterior, así como la tabla de percentiles de precios promedio mensuales, incluyendo por lo menos:</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El precio promedio del petróleo crudo que se encuentre en el percentil 30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El precio promedio del carbón y petróleo crudo que se encuentre en el percentil 45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3. El precio promedio del carbón y petróleo crudo que se encuentre en el percentil 60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color w:val="000000"/>
                <w:sz w:val="20"/>
                <w:szCs w:val="20"/>
              </w:rPr>
            </w:pPr>
          </w:p>
          <w:p w:rsidR="00287157" w:rsidRPr="006B10FA" w:rsidRDefault="00287157" w:rsidP="00287157">
            <w:pPr>
              <w:jc w:val="both"/>
              <w:rPr>
                <w:rFonts w:ascii="Cambria" w:hAnsi="Cambria"/>
                <w:color w:val="000000" w:themeColor="text1"/>
                <w:sz w:val="20"/>
                <w:szCs w:val="20"/>
                <w:highlight w:val="yellow"/>
              </w:rPr>
            </w:pPr>
            <w:r w:rsidRPr="006B10FA">
              <w:rPr>
                <w:rFonts w:ascii="Cambria" w:hAnsi="Cambria"/>
                <w:color w:val="000000" w:themeColor="text1"/>
                <w:sz w:val="20"/>
                <w:szCs w:val="20"/>
                <w:highlight w:val="yellow"/>
              </w:rPr>
              <w:t>4. El precio promedio del carbón que se encuentre en el percentil 65 de los precios promedio mensuales de los últimos 120 meses, sin incluir el precio de los meses transcurridos en el año de la declaración.</w:t>
            </w:r>
          </w:p>
          <w:p w:rsidR="00287157" w:rsidRPr="006B10FA" w:rsidRDefault="00287157" w:rsidP="00287157">
            <w:pPr>
              <w:jc w:val="both"/>
              <w:rPr>
                <w:rFonts w:ascii="Cambria" w:hAnsi="Cambria"/>
                <w:color w:val="000000" w:themeColor="text1"/>
                <w:sz w:val="20"/>
                <w:szCs w:val="20"/>
                <w:highlight w:val="yellow"/>
              </w:rPr>
            </w:pPr>
          </w:p>
          <w:p w:rsidR="00287157" w:rsidRPr="009248F1" w:rsidRDefault="00287157" w:rsidP="00287157">
            <w:pPr>
              <w:jc w:val="both"/>
              <w:rPr>
                <w:rFonts w:ascii="Cambria" w:hAnsi="Cambria"/>
                <w:color w:val="000000" w:themeColor="text1"/>
                <w:sz w:val="20"/>
                <w:szCs w:val="20"/>
              </w:rPr>
            </w:pPr>
            <w:r w:rsidRPr="006B10FA">
              <w:rPr>
                <w:rFonts w:ascii="Cambria" w:hAnsi="Cambria"/>
                <w:color w:val="000000" w:themeColor="text1"/>
                <w:sz w:val="20"/>
                <w:szCs w:val="20"/>
                <w:highlight w:val="yellow"/>
              </w:rPr>
              <w:t>5. El precio promedio de carbón que se encuentre en el percentil 75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Estos puntos adicionales sobre la tarifa del impuesto sobre la renta solo son aplicables a los contribuyentes de que trata este parágrafo que, en el año gravable correspondiente, tengan una renta gravable igual o superior a 50.000 UVT. El umbral anterior se calculará de manera agregada para las actividades realizadas por personas vinculadas según los criterios de vinculación previstos en el artículo 260-1 de este Estatuto.</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Cuando un mismo contribuyente tenga ingresos por las diferentes actividades económicas sujetas a lo aquí previsto, los puntos adicionales serán determinados por la actividad que mayores ingresos fiscales genera para el contribuyente.</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color w:val="000000" w:themeColor="text1"/>
                <w:sz w:val="20"/>
                <w:szCs w:val="20"/>
              </w:rPr>
            </w:pPr>
            <w:r w:rsidRPr="009248F1">
              <w:rPr>
                <w:rFonts w:ascii="Cambria" w:hAnsi="Cambria"/>
                <w:color w:val="000000" w:themeColor="text1"/>
                <w:sz w:val="20"/>
                <w:szCs w:val="20"/>
              </w:rPr>
              <w:t>Cuando los contribuyentes obtengan ingresos por concepto de venta de gas natural, los puntos adicionales que se deberán adicionar a la tarifa general del impuesto sobre la renta se determinarán al multiplicar los puntos adicionales determinados de acuerdo a lo establecido en los incisos anteriores de este parágrafo, por la proporción que dé como resultado la división de la totalidad de los ingresos brutos diferentes a la venta de gas natural entre los ingresos brutos totales.</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b/>
                <w:bCs/>
                <w:sz w:val="20"/>
                <w:szCs w:val="20"/>
              </w:rPr>
              <w:t xml:space="preserve">PARÁGRAFO 4. </w:t>
            </w:r>
            <w:r w:rsidRPr="009248F1">
              <w:rPr>
                <w:rFonts w:ascii="Cambria" w:hAnsi="Cambria"/>
                <w:sz w:val="20"/>
                <w:szCs w:val="20"/>
              </w:rPr>
              <w:t>Los contribuyentes cuya actividad económica principal sea la generación de energía eléctrica a través de recursos hídricos deberán liquidar tres (3) puntos adicionales al impuesto sobre la renta y complementarios durante los periodos gravables 2023, 2024, 2025 y 2026, siendo en total la tarifa del treinta y ocho por ciento (38%).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Los puntos adicionales de los que trata el presente parágrafo solo son aplicables a las personas jurídicas que, en el año gravable correspondiente, tengan una renta gravable igual o superior a 30.000 UVT. El umbral anterior se calculará de manera agregada para las </w:t>
            </w:r>
            <w:r w:rsidRPr="009248F1">
              <w:rPr>
                <w:rFonts w:ascii="Cambria" w:hAnsi="Cambria"/>
                <w:sz w:val="20"/>
                <w:szCs w:val="20"/>
              </w:rPr>
              <w:lastRenderedPageBreak/>
              <w:t>actividades realizadas por personas vinculadas según los criterios de vinculación previstos en el artículo 260-1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de que trata este parágrafo está sujeta a un anticipo del ciento por ciento (100%) del valor de la misma, calculado sobre la base gravable del impuesto sobre la renta y complementarios sobre la cual el contribuyente liquidó el mencionado impuesto para el año gravable inmediatamente anterior. El anticipo de la sobretasa del impuesto sobre la renta y complementarios deberá pagarse en dos cuotas iguales anuales en los plazos que fije el reglamento.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Lo dispuesto en el presente parágrafo no se aplicable a las Pequeñas Centrales Hidroeléctricas cuya capacidad instalada sea igual o menor a mil Kilovatios (1.000 </w:t>
            </w:r>
            <w:proofErr w:type="spellStart"/>
            <w:r w:rsidRPr="009248F1">
              <w:rPr>
                <w:rFonts w:ascii="Cambria" w:hAnsi="Cambria"/>
                <w:sz w:val="20"/>
                <w:szCs w:val="20"/>
              </w:rPr>
              <w:t>Kw</w:t>
            </w:r>
            <w:proofErr w:type="spellEnd"/>
            <w:r w:rsidRPr="009248F1">
              <w:rPr>
                <w:rFonts w:ascii="Cambria" w:hAnsi="Cambria"/>
                <w:sz w:val="20"/>
                <w:szCs w:val="20"/>
              </w:rPr>
              <w:t>).</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establecida en el presente parágrafo no podrá ser trasladada al usuario final. Lo anterior considerando el régimen de competencia definido para cada etapa de la cadena de valor de la prestación del servicio de energía eléctrica. La Comisión de Regulación de Energía y Gas -CREG regulará la materia y la Superintendencia de Servicios Públicos Domiciliarios realizarán la inspección y vigilancia de acuerdo con sus competencias</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bCs/>
                <w:sz w:val="20"/>
                <w:szCs w:val="20"/>
              </w:rPr>
              <w:t xml:space="preserve">PARÁGRAFO 5. </w:t>
            </w:r>
            <w:r w:rsidRPr="009248F1">
              <w:rPr>
                <w:rFonts w:ascii="Cambria" w:hAnsi="Cambria"/>
                <w:sz w:val="20"/>
                <w:szCs w:val="20"/>
              </w:rPr>
              <w:t>Las sociedades nacionales y sus asimiladas, los establecimientos permanentes de entidades del exterior y las personas jurídicas extranjeras con o sin residencia en el país tendrán una tarifa del quince por ciento (15%) sobre los ingresos percibidos en la prestación de servicios hoteleros, de parques temáticos de ecoturismo y/o de agroturismo, por un término de diez (10) años, contados a partir del inicio de la prestación del respectivo servicio que se efectúe en: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Los nuevos proyectos de hoteles, de parques temáticos de ecoturismo y/o de agroturismo que se construyan, 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Los hoteles, parques temáticos de ecoturismo y/o de agroturismo que se remodelen y/o amplíen, siempre y cuando el valor de la remodelación y/o ampliación no sea inferior al cincuenta por ciento (50%) del valor de la adquisición del inmueble remodelado y/o ampliado, conforme a las reglas de artículo 90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Para efectos de lo dispuesto en el presente parágrafo, se deberán cumplir los siguientes requisitos: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lastRenderedPageBreak/>
              <w:t xml:space="preserve">1. Que se realice la construcción, ampliación y/o remodelación en: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1.1. Municipios de hasta doscientos mil (200.000) habitantes, tal y como lo certifique el Departamento Administrativo Nacional de Estadística -DANE a 31 de diciembre de 2022, y/o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1.2. Municipios listados en los programas de desarrollo con enfoque territorial - PDET.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Que en el caso del nuevo proyecto hotelero, de parque temático de ecoturismo y/o de agroturismo cuente con la licencia de construcción expedida por la autoridad competente en la cual conste la aprobación respectiva de la nueva construcción.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3. Que en el caso de la ampliación y/o remodelación del hotel, del parque temático de ecoturismo y/o de agroturismo cuente con la aprobación previa del proyecto por parte de la Curaduría Urbana o en su defecto de la Alcaldía Municipal del domicilio del inmueble remodelado y/o ampliado.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4. Que el hotel, el parque temático de ecoturismo y/o agroturismo cuente con la habilitación del registro nacional de turismo, al momento de inicio de los servicios objeto del beneficio tributario.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5. Que la construcción, ampliación y/o remodelación se realice en su totalidad dentro de los cinco (5) años siguientes a partir de la entrada en vigencia de la presente ley y se inicie la prestación del servicio de ecoturismo y/o agroturismo, en este periodo.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El Ministerio de Comercio, Industria y Turismo autorizará y aprobará la procedencia de este beneficio a las sociedades nacionales y sus asimiladas, los establecimientos permanentes de entidades del exterior y las personas jurídicas extranjeras con o sin residencia en el país, sobre los nuevos proyectos de construcción, remodelación y/o ampliación de hoteles, parques temáticos de ecoturismo y/o agroturismo y que cumplan con los requisitos y condiciones establecidos en este parágrafo y su reglamentación.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La tarifa del impuesto sobre la renta del quince por ciento (15%) de que trata el presente parágrafo podrá ser aplicada por los operadores de los hoteles, parques temáticos de ecoturismo y/o de agroturismo, siempre y cuando los nuevos proyectos de construcción, remodelación y/o ampliación se haya entregado para el desarrollo de la operación y la renta provenga </w:t>
            </w:r>
            <w:r w:rsidRPr="009248F1">
              <w:rPr>
                <w:rFonts w:ascii="Cambria" w:hAnsi="Cambria"/>
                <w:sz w:val="20"/>
                <w:szCs w:val="20"/>
              </w:rPr>
              <w:lastRenderedPageBreak/>
              <w:t>directamente de la prestación de dichos servicios sin que exista rendimiento garantizado.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 previsto en el presente parágrafo no será aplicable a moteles y residencias.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sz w:val="20"/>
                <w:szCs w:val="20"/>
              </w:rPr>
              <w:t>PARÁGRAFO 6.</w:t>
            </w:r>
            <w:r w:rsidRPr="009248F1">
              <w:rPr>
                <w:rFonts w:ascii="Cambria" w:hAnsi="Cambria"/>
                <w:sz w:val="20"/>
                <w:szCs w:val="20"/>
              </w:rPr>
              <w:t xml:space="preserve"> El presente parágrafo establece una tasa mínima de tributación para los contribuyentes del impuesto sobre la renta de que trata este artículo y el artículo 240-1 del Estatuto Tributario, salvo las personas jurídicas extranjeras sin residencia en el país, que se calculará a partir de la utilidad financiera depurada. Esta tasa mínima se denominará Tasa de Tributación Depurada (TTD) la cual no podrá ser inferior al 15% y será el resultado de dividir el Impuesto Depurado (ID) sobre la Utilidad Depurada (UD), así:</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𝑇𝑇𝐷</w:t>
            </w:r>
            <w:r w:rsidRPr="009248F1">
              <w:rPr>
                <w:rFonts w:ascii="Cambria" w:hAnsi="Cambria"/>
                <w:sz w:val="20"/>
                <w:szCs w:val="20"/>
              </w:rPr>
              <w:t xml:space="preserve"> = </w:t>
            </w:r>
            <w:r w:rsidRPr="009248F1">
              <w:rPr>
                <w:rFonts w:ascii="Cambria Math" w:eastAsia="Cambria Math" w:hAnsi="Cambria Math" w:cs="Cambria Math"/>
                <w:sz w:val="20"/>
                <w:szCs w:val="20"/>
              </w:rPr>
              <w:t>𝐼𝐷 / 𝑈𝐷</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Por su parte, el Impuesto Depurado (ID) y la Utilidad Depurada (UD) se calculará así:</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𝐼𝐷</w:t>
            </w:r>
            <w:r w:rsidRPr="009248F1">
              <w:rPr>
                <w:rFonts w:ascii="Cambria" w:hAnsi="Cambria"/>
                <w:sz w:val="20"/>
                <w:szCs w:val="20"/>
              </w:rPr>
              <w:t xml:space="preserve"> = </w:t>
            </w:r>
            <w:r w:rsidRPr="009248F1">
              <w:rPr>
                <w:rFonts w:ascii="Cambria Math" w:eastAsia="Cambria Math" w:hAnsi="Cambria Math" w:cs="Cambria Math"/>
                <w:sz w:val="20"/>
                <w:szCs w:val="20"/>
              </w:rPr>
              <w:t>𝐼𝑁𝑅</w:t>
            </w:r>
            <w:r w:rsidRPr="009248F1">
              <w:rPr>
                <w:rFonts w:ascii="Cambria" w:hAnsi="Cambria"/>
                <w:sz w:val="20"/>
                <w:szCs w:val="20"/>
              </w:rPr>
              <w:t xml:space="preserve"> + </w:t>
            </w:r>
            <w:r w:rsidRPr="009248F1">
              <w:rPr>
                <w:rFonts w:ascii="Cambria Math" w:eastAsia="Cambria Math" w:hAnsi="Cambria Math" w:cs="Cambria Math"/>
                <w:sz w:val="20"/>
                <w:szCs w:val="20"/>
              </w:rPr>
              <w:t>𝐷𝑇𝐶</w:t>
            </w:r>
            <w:r w:rsidRPr="009248F1">
              <w:rPr>
                <w:rFonts w:ascii="Cambria" w:hAnsi="Cambria"/>
                <w:sz w:val="20"/>
                <w:szCs w:val="20"/>
              </w:rPr>
              <w:t xml:space="preserve"> − </w:t>
            </w:r>
            <w:r w:rsidRPr="009248F1">
              <w:rPr>
                <w:rFonts w:ascii="Cambria Math" w:eastAsia="Cambria Math" w:hAnsi="Cambria Math" w:cs="Cambria Math"/>
                <w:sz w:val="20"/>
                <w:szCs w:val="20"/>
              </w:rPr>
              <w:t>𝐼𝑅𝑃</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ID: Impuesto Depurado.</w:t>
            </w:r>
          </w:p>
          <w:p w:rsidR="00287157" w:rsidRPr="009248F1" w:rsidRDefault="00287157" w:rsidP="00287157">
            <w:pPr>
              <w:jc w:val="both"/>
              <w:rPr>
                <w:rFonts w:ascii="Cambria" w:hAnsi="Cambria"/>
                <w:sz w:val="20"/>
                <w:szCs w:val="20"/>
              </w:rPr>
            </w:pPr>
            <w:r w:rsidRPr="009248F1">
              <w:rPr>
                <w:rFonts w:ascii="Cambria" w:hAnsi="Cambria"/>
                <w:sz w:val="20"/>
                <w:szCs w:val="20"/>
              </w:rPr>
              <w:t>INR: Impuesto neto de renta.</w:t>
            </w:r>
          </w:p>
          <w:p w:rsidR="00287157" w:rsidRPr="009248F1" w:rsidRDefault="00287157" w:rsidP="00287157">
            <w:pPr>
              <w:jc w:val="both"/>
              <w:rPr>
                <w:rFonts w:ascii="Cambria" w:hAnsi="Cambria"/>
                <w:sz w:val="20"/>
                <w:szCs w:val="20"/>
              </w:rPr>
            </w:pPr>
            <w:r w:rsidRPr="009248F1">
              <w:rPr>
                <w:rFonts w:ascii="Cambria" w:hAnsi="Cambria"/>
                <w:sz w:val="20"/>
                <w:szCs w:val="20"/>
              </w:rPr>
              <w:t>DTC: Descuentos tributarios o créditos tributarios por aplicación de tratados para evitar la doble imposición y el establecido en el artículo 254 del Estatuto Tributario.</w:t>
            </w:r>
          </w:p>
          <w:p w:rsidR="00287157" w:rsidRPr="009248F1" w:rsidRDefault="00287157" w:rsidP="00287157">
            <w:pPr>
              <w:jc w:val="both"/>
              <w:rPr>
                <w:rFonts w:ascii="Cambria" w:hAnsi="Cambria"/>
                <w:sz w:val="20"/>
                <w:szCs w:val="20"/>
              </w:rPr>
            </w:pPr>
            <w:r w:rsidRPr="009248F1">
              <w:rPr>
                <w:rFonts w:ascii="Cambria" w:hAnsi="Cambria"/>
                <w:sz w:val="20"/>
                <w:szCs w:val="20"/>
              </w:rPr>
              <w:t>IRP: Impuesto sobre la renta por rentas pasivas provenientes de entidades controladas del exterior. Se calculará multiplicando la renta líquida pasiva por la tarifa general del artículo 240 del Estatuto Tributario (renta líquida pasiva x tarifa general).</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𝑈𝐷</w:t>
            </w:r>
            <w:r w:rsidRPr="009248F1">
              <w:rPr>
                <w:rFonts w:ascii="Cambria" w:hAnsi="Cambria"/>
                <w:sz w:val="20"/>
                <w:szCs w:val="20"/>
              </w:rPr>
              <w:t xml:space="preserve"> = </w:t>
            </w:r>
            <w:r w:rsidRPr="009248F1">
              <w:rPr>
                <w:rFonts w:ascii="Cambria Math" w:eastAsia="Cambria Math" w:hAnsi="Cambria Math" w:cs="Cambria Math"/>
                <w:sz w:val="20"/>
                <w:szCs w:val="20"/>
              </w:rPr>
              <w:t>𝑈𝐶</w:t>
            </w:r>
            <w:r w:rsidRPr="009248F1">
              <w:rPr>
                <w:rFonts w:ascii="Cambria" w:hAnsi="Cambria"/>
                <w:sz w:val="20"/>
                <w:szCs w:val="20"/>
              </w:rPr>
              <w:t xml:space="preserve"> + </w:t>
            </w:r>
            <w:r w:rsidRPr="009248F1">
              <w:rPr>
                <w:rFonts w:ascii="Cambria Math" w:eastAsia="Cambria Math" w:hAnsi="Cambria Math" w:cs="Cambria Math"/>
                <w:sz w:val="20"/>
                <w:szCs w:val="20"/>
              </w:rPr>
              <w:t>𝐷𝑃𝐴𝑅𝐿</w:t>
            </w:r>
            <w:r w:rsidRPr="009248F1">
              <w:rPr>
                <w:rFonts w:ascii="Cambria" w:hAnsi="Cambria"/>
                <w:sz w:val="20"/>
                <w:szCs w:val="20"/>
              </w:rPr>
              <w:t xml:space="preserve"> − </w:t>
            </w:r>
            <w:r w:rsidRPr="009248F1">
              <w:rPr>
                <w:rFonts w:ascii="Cambria Math" w:eastAsia="Cambria Math" w:hAnsi="Cambria Math" w:cs="Cambria Math"/>
                <w:sz w:val="20"/>
                <w:szCs w:val="20"/>
              </w:rPr>
              <w:t>𝐼𝑁𝐶𝑅𝑁𝐺𝑂</w:t>
            </w:r>
            <w:r w:rsidRPr="009248F1">
              <w:rPr>
                <w:rFonts w:ascii="Cambria" w:hAnsi="Cambria"/>
                <w:sz w:val="20"/>
                <w:szCs w:val="20"/>
              </w:rPr>
              <w:t xml:space="preserve"> − </w:t>
            </w:r>
            <w:r w:rsidRPr="009248F1">
              <w:rPr>
                <w:rFonts w:ascii="Cambria Math" w:eastAsia="Cambria Math" w:hAnsi="Cambria Math" w:cs="Cambria Math"/>
                <w:sz w:val="20"/>
                <w:szCs w:val="20"/>
              </w:rPr>
              <w:t>𝑉𝐼𝑀𝑃𝑃</w:t>
            </w:r>
            <w:r w:rsidRPr="009248F1">
              <w:rPr>
                <w:rFonts w:ascii="Cambria" w:hAnsi="Cambria"/>
                <w:sz w:val="20"/>
                <w:szCs w:val="20"/>
              </w:rPr>
              <w:t xml:space="preserve"> − </w:t>
            </w:r>
            <w:r w:rsidRPr="009248F1">
              <w:rPr>
                <w:rFonts w:ascii="Cambria Math" w:eastAsia="Cambria Math" w:hAnsi="Cambria Math" w:cs="Cambria Math"/>
                <w:sz w:val="20"/>
                <w:szCs w:val="20"/>
              </w:rPr>
              <w:t>𝑉𝑁𝐺𝑂</w:t>
            </w:r>
            <w:r w:rsidRPr="009248F1">
              <w:rPr>
                <w:rFonts w:ascii="Cambria" w:hAnsi="Cambria"/>
                <w:sz w:val="20"/>
                <w:szCs w:val="20"/>
              </w:rPr>
              <w:t xml:space="preserve"> − </w:t>
            </w:r>
            <w:r w:rsidRPr="009248F1">
              <w:rPr>
                <w:rFonts w:ascii="Cambria Math" w:eastAsia="Cambria Math" w:hAnsi="Cambria Math" w:cs="Cambria Math"/>
                <w:sz w:val="20"/>
                <w:szCs w:val="20"/>
              </w:rPr>
              <w:t>𝑅𝐸</w:t>
            </w:r>
            <w:r w:rsidRPr="009248F1">
              <w:rPr>
                <w:rFonts w:ascii="Cambria" w:hAnsi="Cambria"/>
                <w:sz w:val="20"/>
                <w:szCs w:val="20"/>
              </w:rPr>
              <w:t xml:space="preserve"> − </w:t>
            </w:r>
            <w:r w:rsidRPr="009248F1">
              <w:rPr>
                <w:rFonts w:ascii="Cambria Math" w:eastAsia="Cambria Math" w:hAnsi="Cambria Math" w:cs="Cambria Math"/>
                <w:sz w:val="20"/>
                <w:szCs w:val="20"/>
              </w:rPr>
              <w:t>𝐶</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UD: Utilidad Depurada.</w:t>
            </w:r>
          </w:p>
          <w:p w:rsidR="00287157" w:rsidRPr="009248F1" w:rsidRDefault="00287157" w:rsidP="00287157">
            <w:pPr>
              <w:jc w:val="both"/>
              <w:rPr>
                <w:rFonts w:ascii="Cambria" w:hAnsi="Cambria"/>
                <w:sz w:val="20"/>
                <w:szCs w:val="20"/>
              </w:rPr>
            </w:pPr>
            <w:r w:rsidRPr="009248F1">
              <w:rPr>
                <w:rFonts w:ascii="Cambria" w:hAnsi="Cambria"/>
                <w:sz w:val="20"/>
                <w:szCs w:val="20"/>
              </w:rPr>
              <w:t>UC: Utilidad contable o financiera antes de impuestos.</w:t>
            </w:r>
          </w:p>
          <w:p w:rsidR="00287157" w:rsidRPr="009248F1" w:rsidRDefault="00287157" w:rsidP="00287157">
            <w:pPr>
              <w:jc w:val="both"/>
              <w:rPr>
                <w:rFonts w:ascii="Cambria" w:hAnsi="Cambria"/>
                <w:sz w:val="20"/>
                <w:szCs w:val="20"/>
              </w:rPr>
            </w:pPr>
            <w:r w:rsidRPr="009248F1">
              <w:rPr>
                <w:rFonts w:ascii="Cambria" w:hAnsi="Cambria"/>
                <w:sz w:val="20"/>
                <w:szCs w:val="20"/>
              </w:rPr>
              <w:t>DPARL: Diferencias permanentes consagradas en la ley y que aumentan la renta líquida.</w:t>
            </w:r>
          </w:p>
          <w:p w:rsidR="00287157" w:rsidRPr="009248F1" w:rsidRDefault="00287157" w:rsidP="00287157">
            <w:pPr>
              <w:jc w:val="both"/>
              <w:rPr>
                <w:rFonts w:ascii="Cambria" w:hAnsi="Cambria"/>
                <w:sz w:val="20"/>
                <w:szCs w:val="20"/>
              </w:rPr>
            </w:pPr>
            <w:r w:rsidRPr="009248F1">
              <w:rPr>
                <w:rFonts w:ascii="Cambria" w:hAnsi="Cambria"/>
                <w:sz w:val="20"/>
                <w:szCs w:val="20"/>
              </w:rPr>
              <w:t>INCRNGO: Ingresos no constitutivos de renta ni ganancia ocasional, que afectan la utilidad contable o financiera.</w:t>
            </w:r>
          </w:p>
          <w:p w:rsidR="00287157" w:rsidRPr="009248F1" w:rsidRDefault="00287157" w:rsidP="00287157">
            <w:pPr>
              <w:jc w:val="both"/>
              <w:rPr>
                <w:rFonts w:ascii="Cambria" w:hAnsi="Cambria"/>
                <w:sz w:val="20"/>
                <w:szCs w:val="20"/>
              </w:rPr>
            </w:pPr>
            <w:r w:rsidRPr="009248F1">
              <w:rPr>
                <w:rFonts w:ascii="Cambria" w:hAnsi="Cambria"/>
                <w:sz w:val="20"/>
                <w:szCs w:val="20"/>
              </w:rPr>
              <w:t>VIMPP: Valor ingreso método de participación patrimonial del respectivo año gravable.</w:t>
            </w:r>
          </w:p>
          <w:p w:rsidR="00287157" w:rsidRPr="009248F1" w:rsidRDefault="00287157" w:rsidP="00287157">
            <w:pPr>
              <w:jc w:val="both"/>
              <w:rPr>
                <w:rFonts w:ascii="Cambria" w:hAnsi="Cambria"/>
                <w:sz w:val="20"/>
                <w:szCs w:val="20"/>
              </w:rPr>
            </w:pPr>
            <w:r w:rsidRPr="009248F1">
              <w:rPr>
                <w:rFonts w:ascii="Cambria" w:hAnsi="Cambria"/>
                <w:sz w:val="20"/>
                <w:szCs w:val="20"/>
              </w:rPr>
              <w:t>VNGO: Valor neto de ingresos por ganancia ocasional que afectan la utilidad contable o financiera.</w:t>
            </w:r>
          </w:p>
          <w:p w:rsidR="00287157" w:rsidRPr="009248F1" w:rsidRDefault="00287157" w:rsidP="00287157">
            <w:pPr>
              <w:jc w:val="both"/>
              <w:rPr>
                <w:rFonts w:ascii="Cambria" w:hAnsi="Cambria"/>
                <w:sz w:val="20"/>
                <w:szCs w:val="20"/>
              </w:rPr>
            </w:pPr>
            <w:r w:rsidRPr="009248F1">
              <w:rPr>
                <w:rFonts w:ascii="Cambria" w:hAnsi="Cambria"/>
                <w:sz w:val="20"/>
                <w:szCs w:val="20"/>
              </w:rPr>
              <w:t xml:space="preserve">RE: Rentas exentas por aplicación de tratados para evitar la doble imposición – CAN, las percibidas por el régimen de compañías holding colombianas -CHC y las rentas exentas de que tratan los literales a) y b) del </w:t>
            </w:r>
            <w:r w:rsidRPr="009248F1">
              <w:rPr>
                <w:rFonts w:ascii="Cambria" w:hAnsi="Cambria"/>
                <w:sz w:val="20"/>
                <w:szCs w:val="20"/>
              </w:rPr>
              <w:lastRenderedPageBreak/>
              <w:t>numeral 4 y el numeral 7 del artículo 235-2 del Estatuto Tributario.</w:t>
            </w:r>
          </w:p>
          <w:p w:rsidR="00287157" w:rsidRPr="009248F1" w:rsidRDefault="00287157" w:rsidP="00287157">
            <w:pPr>
              <w:jc w:val="both"/>
              <w:rPr>
                <w:rFonts w:ascii="Cambria" w:hAnsi="Cambria"/>
                <w:sz w:val="20"/>
                <w:szCs w:val="20"/>
              </w:rPr>
            </w:pPr>
            <w:r w:rsidRPr="009248F1">
              <w:rPr>
                <w:rFonts w:ascii="Cambria" w:hAnsi="Cambria"/>
                <w:sz w:val="20"/>
                <w:szCs w:val="20"/>
              </w:rPr>
              <w:t>C: Compensación de pérdidas fiscales o excesos de renta presuntiva tomados en el año gravable y que no afectaron la utilidad contable del periodo.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Cuando la Tasa de Tributación Depurada (TTD) sea inferior al 15%, se deberá determinar el valor del Impuesto a Adicionar (IA) para alcanzar la tasa del 15%,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Para los contribuyentes sujetos a este artículo y al artículo 240-1 del Estatuto Tributario, cuyos estados financieros no sean objeto de consolidación, la diferencia positiva entre la Utilidad Depurada (UD) multiplicada por el 15% y el Impuesto Depurado (ID), será un mayor valor del impuesto sobre la renta, que deberá adicionarse al impuesto sobre la renta (IA).</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𝐼𝐴</w:t>
            </w:r>
            <w:r w:rsidRPr="009248F1">
              <w:rPr>
                <w:rFonts w:ascii="Cambria" w:hAnsi="Cambria"/>
                <w:sz w:val="20"/>
                <w:szCs w:val="20"/>
              </w:rPr>
              <w:t xml:space="preserve"> = (</w:t>
            </w:r>
            <w:r w:rsidRPr="009248F1">
              <w:rPr>
                <w:rFonts w:ascii="Cambria Math" w:eastAsia="Cambria Math" w:hAnsi="Cambria Math" w:cs="Cambria Math"/>
                <w:sz w:val="20"/>
                <w:szCs w:val="20"/>
              </w:rPr>
              <w:t>𝑈𝐷</w:t>
            </w:r>
            <w:r w:rsidRPr="009248F1">
              <w:rPr>
                <w:rFonts w:ascii="Cambria" w:hAnsi="Cambria"/>
                <w:sz w:val="20"/>
                <w:szCs w:val="20"/>
              </w:rPr>
              <w:t xml:space="preserve"> </w:t>
            </w:r>
            <w:r w:rsidRPr="009248F1">
              <w:rPr>
                <w:rFonts w:ascii="Cambria" w:eastAsia="MS Mincho" w:hAnsi="Cambria" w:cs="MS Mincho"/>
                <w:sz w:val="20"/>
                <w:szCs w:val="20"/>
              </w:rPr>
              <w:t>∗</w:t>
            </w:r>
            <w:r w:rsidRPr="009248F1">
              <w:rPr>
                <w:rFonts w:ascii="Cambria" w:hAnsi="Cambria"/>
                <w:sz w:val="20"/>
                <w:szCs w:val="20"/>
              </w:rPr>
              <w:t xml:space="preserve"> 15%) − </w:t>
            </w:r>
            <w:r w:rsidRPr="009248F1">
              <w:rPr>
                <w:rFonts w:ascii="Cambria Math" w:eastAsia="Cambria Math" w:hAnsi="Cambria Math" w:cs="Cambria Math"/>
                <w:sz w:val="20"/>
                <w:szCs w:val="20"/>
              </w:rPr>
              <w:t>𝐼𝐷</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Los contribuyentes residentes fiscales en Colombia cuyos estados financieros sean objeto de consolidación en Colombia, deberán realizar el siguiente procedimiento: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2.1. Calcular la Tasa de Tributación Depurada del Grupo (TTDG) dividiendo la sumatoria de los Impuestos Depurados (ΣID) de cada contribuyente residente fiscal en Colombia objeto de consolidación por la sumatoria de la Utilidad Depurada (ΣUD) de cada contribuyente residente fiscal en Colombia cuyos estados financieros son objeto de consolidación,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Math" w:eastAsia="Cambria Math" w:hAnsi="Cambria Math" w:cs="Cambria Math"/>
                <w:sz w:val="20"/>
                <w:szCs w:val="20"/>
              </w:rPr>
              <w:t>𝑇𝑇𝐷𝐺</w:t>
            </w:r>
            <w:r w:rsidRPr="009248F1">
              <w:rPr>
                <w:rFonts w:ascii="Cambria" w:hAnsi="Cambria"/>
                <w:sz w:val="20"/>
                <w:szCs w:val="20"/>
              </w:rPr>
              <w:t>TTDG = ΣID / ΣUD</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2.2. Si el resultado es inferior al 15%, se deberá calcular el Impuesto a Adicionar por el Grupo (IAG) a partir de la diferencia entre la sumatoria de la Utilidad Depurada (ΣUD) multiplicada por el 15% menos la sumatoria del Impuesto Depurado (ΣID) de cada contribuyente, cuyos estados financieros se consolidan,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IAG = (ΣUD ∗ 15%) − ΣID</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2.3. Para calcular el Impuesto a Adicionar (IA) de cada contribuyente residente fiscal en Colombia, se deberá multiplicar el Impuesto a Adicionar por el Grupo (IAG) por el porcentaje que dé como resultado la división de la Utilidad Depurada de cada contribuyente con utilidad depurada mayor a cero (UDβ) sobre la sumatoria de las Utilidades Depuradas de los contribuyentes con Utilidades Depuradas mayores a cero (ΣUDβ), así:</w:t>
            </w:r>
          </w:p>
          <w:p w:rsidR="00287157" w:rsidRPr="009248F1" w:rsidRDefault="00287157" w:rsidP="00287157">
            <w:pPr>
              <w:jc w:val="both"/>
              <w:rPr>
                <w:rFonts w:ascii="Cambria" w:hAnsi="Cambria"/>
                <w:sz w:val="20"/>
                <w:szCs w:val="20"/>
              </w:rPr>
            </w:pPr>
          </w:p>
          <w:p w:rsidR="00287157" w:rsidRPr="009248F1" w:rsidRDefault="00287157" w:rsidP="00287157">
            <w:pPr>
              <w:pStyle w:val="p1"/>
              <w:ind w:left="0"/>
              <w:rPr>
                <w:rFonts w:ascii="Cambria" w:hAnsi="Cambria"/>
                <w:sz w:val="20"/>
                <w:szCs w:val="20"/>
              </w:rPr>
            </w:pPr>
            <w:r w:rsidRPr="009248F1">
              <w:rPr>
                <w:rFonts w:ascii="Cambria Math" w:eastAsia="Cambria Math" w:hAnsi="Cambria Math" w:cs="Cambria Math"/>
                <w:sz w:val="20"/>
                <w:szCs w:val="20"/>
              </w:rPr>
              <w:lastRenderedPageBreak/>
              <w:t>𝐼𝐴</w:t>
            </w:r>
            <w:r w:rsidRPr="009248F1">
              <w:rPr>
                <w:rFonts w:ascii="Cambria" w:hAnsi="Cambria"/>
                <w:sz w:val="20"/>
                <w:szCs w:val="20"/>
              </w:rPr>
              <w:t xml:space="preserve"> IA= </w:t>
            </w:r>
            <w:r w:rsidRPr="009248F1">
              <w:rPr>
                <w:rFonts w:ascii="Cambria Math" w:hAnsi="Cambria Math"/>
                <w:sz w:val="20"/>
                <w:szCs w:val="20"/>
              </w:rPr>
              <w:t>IAG x (</w:t>
            </w:r>
            <w:r w:rsidRPr="009248F1">
              <w:rPr>
                <w:rFonts w:ascii="Cambria Math" w:eastAsia="Cambria Math" w:hAnsi="Cambria Math" w:cs="Cambria Math"/>
                <w:sz w:val="20"/>
                <w:szCs w:val="20"/>
              </w:rPr>
              <w:t>𝑈𝐷𝛽</w:t>
            </w:r>
            <w:r w:rsidRPr="009248F1">
              <w:rPr>
                <w:rFonts w:ascii="Cambria Math" w:hAnsi="Cambria Math" w:cs="Times New Roman"/>
                <w:sz w:val="20"/>
                <w:szCs w:val="20"/>
              </w:rPr>
              <w:t>/</w:t>
            </w:r>
            <w:r w:rsidRPr="009248F1">
              <w:rPr>
                <w:rFonts w:ascii="Cambria Math" w:hAnsi="Cambria Math"/>
                <w:sz w:val="20"/>
                <w:szCs w:val="20"/>
              </w:rPr>
              <w:t xml:space="preserve"> Σ</w:t>
            </w:r>
            <w:r w:rsidRPr="009248F1">
              <w:rPr>
                <w:rFonts w:ascii="Cambria Math" w:eastAsia="Cambria Math" w:hAnsi="Cambria Math" w:cs="Cambria Math"/>
                <w:sz w:val="20"/>
                <w:szCs w:val="20"/>
              </w:rPr>
              <w:t>𝑈𝐷𝛽</w:t>
            </w:r>
            <w:r w:rsidRPr="009248F1">
              <w:rPr>
                <w:rFonts w:ascii="Cambria Math" w:hAnsi="Cambria Math"/>
                <w:sz w:val="20"/>
                <w:szCs w:val="20"/>
              </w:rPr>
              <w:t>)</w:t>
            </w:r>
          </w:p>
          <w:p w:rsidR="00287157" w:rsidRPr="009248F1" w:rsidRDefault="00287157" w:rsidP="00287157">
            <w:pPr>
              <w:jc w:val="both"/>
              <w:rPr>
                <w:rFonts w:ascii="Cambria" w:hAnsi="Cambria"/>
                <w:sz w:val="20"/>
                <w:szCs w:val="20"/>
              </w:rPr>
            </w:pPr>
            <w:r w:rsidRPr="009248F1">
              <w:rPr>
                <w:rFonts w:ascii="Cambria" w:hAnsi="Cambria"/>
                <w:sz w:val="20"/>
                <w:szCs w:val="20"/>
              </w:rPr>
              <w:t>Lo dispuesto en este parágrafo no aplica para:</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a) Las sociedades que se constituyeron como Zonas Económicas y Sociales Especiales -ZESE durante el periodo que su tarifa del impuesto sobre la renta sea del cero por ciento (0%), las sociedades que aplican el incentivo tributario de las zonas más afectadas por el conflicto armado -ZOMAC, las sociedades de que tratan los parágrafos 5 y 7 del presente artículo, siempre y cuando no estén obligadas a presentar el informe país por país de conformidad con lo establecido en el artículo 260-5 del Estatuto Tributario.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b) Las sociedades de que trata el parágrafo 1 del presente artículo.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De igual forma no aplica lo indicado en este parágrafo para aquellos</w:t>
            </w:r>
          </w:p>
          <w:p w:rsidR="00287157" w:rsidRPr="009248F1" w:rsidRDefault="00287157" w:rsidP="00287157">
            <w:pPr>
              <w:jc w:val="both"/>
              <w:rPr>
                <w:rFonts w:ascii="Cambria" w:hAnsi="Cambria"/>
                <w:sz w:val="20"/>
                <w:szCs w:val="20"/>
              </w:rPr>
            </w:pPr>
            <w:r w:rsidRPr="009248F1">
              <w:rPr>
                <w:rFonts w:ascii="Cambria" w:hAnsi="Cambria"/>
                <w:sz w:val="20"/>
                <w:szCs w:val="20"/>
              </w:rPr>
              <w:t>contribuyentes cuyos estados financieros no sean objeto de consolidación y su Utilidad Depurada (UD) sea igual o menor a cero, o para los contribuyentes cuyos estados financieros sean objeto de consolidación y la sumatoria de la Utilidad Depurada (ΣUD) sea igual o menor a cero.</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w:hAnsi="Cambria"/>
                <w:sz w:val="20"/>
                <w:szCs w:val="20"/>
              </w:rPr>
              <w:t>c) Quienes se rijan por lo previsto en el artículo 32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PARÁGRAFO 7. La tarifa del impuesto sobre la renta aplicable a las empresas editoriales constituidas en Colombia como personas jurídicas, cuya actividad económica y objeto social sea exclusivamente la edición de libros, en los términos de la Ley 98 de 1993, será del 15%.</w:t>
            </w:r>
          </w:p>
          <w:p w:rsidR="00287157" w:rsidRPr="009248F1" w:rsidRDefault="00287157" w:rsidP="00287157">
            <w:pPr>
              <w:rPr>
                <w:rFonts w:ascii="Arial" w:hAnsi="Arial" w:cs="Arial"/>
                <w:sz w:val="20"/>
                <w:szCs w:val="20"/>
              </w:rPr>
            </w:pPr>
          </w:p>
          <w:p w:rsidR="00287157" w:rsidRPr="009248F1" w:rsidRDefault="00287157" w:rsidP="00287157">
            <w:pPr>
              <w:jc w:val="both"/>
              <w:rPr>
                <w:rFonts w:ascii="Cambria" w:hAnsi="Cambria" w:cstheme="minorHAnsi"/>
                <w:b/>
                <w:color w:val="000000" w:themeColor="text1"/>
                <w:sz w:val="20"/>
                <w:szCs w:val="20"/>
                <w:lang w:eastAsia="es-CO"/>
              </w:rPr>
            </w:pPr>
          </w:p>
        </w:tc>
        <w:tc>
          <w:tcPr>
            <w:tcW w:w="4865" w:type="dxa"/>
          </w:tcPr>
          <w:p w:rsidR="00287157" w:rsidRPr="009248F1" w:rsidRDefault="00287157" w:rsidP="00287157">
            <w:pPr>
              <w:jc w:val="both"/>
              <w:rPr>
                <w:rFonts w:ascii="Cambria" w:hAnsi="Cambria"/>
                <w:sz w:val="20"/>
                <w:szCs w:val="20"/>
              </w:rPr>
            </w:pPr>
            <w:r w:rsidRPr="009248F1">
              <w:rPr>
                <w:rFonts w:ascii="Cambria" w:hAnsi="Cambria"/>
                <w:b/>
                <w:bCs/>
                <w:sz w:val="20"/>
                <w:szCs w:val="20"/>
              </w:rPr>
              <w:lastRenderedPageBreak/>
              <w:t>Artículo 240. Tarifa general para personas jurídicas</w:t>
            </w:r>
            <w:r>
              <w:rPr>
                <w:rFonts w:ascii="Cambria" w:hAnsi="Cambria"/>
                <w:b/>
                <w:bCs/>
                <w:sz w:val="20"/>
                <w:szCs w:val="20"/>
              </w:rPr>
              <w:t xml:space="preserve"> </w:t>
            </w:r>
            <w:r w:rsidRPr="006C524F">
              <w:rPr>
                <w:rFonts w:ascii="Cambria" w:hAnsi="Cambria"/>
                <w:b/>
                <w:bCs/>
                <w:color w:val="FF0000"/>
                <w:sz w:val="20"/>
                <w:szCs w:val="20"/>
              </w:rPr>
              <w:t xml:space="preserve">(modificado con artículo 14 </w:t>
            </w:r>
            <w:r w:rsidR="00FB60A2">
              <w:rPr>
                <w:rFonts w:ascii="Cambria" w:hAnsi="Cambria"/>
                <w:b/>
                <w:bCs/>
                <w:color w:val="FF0000"/>
                <w:sz w:val="20"/>
                <w:szCs w:val="20"/>
              </w:rPr>
              <w:t>proyecto de Ley de septiembre de 2025</w:t>
            </w:r>
            <w:r w:rsidRPr="006C524F">
              <w:rPr>
                <w:rFonts w:ascii="Cambria" w:hAnsi="Cambria"/>
                <w:b/>
                <w:bCs/>
                <w:color w:val="FF0000"/>
                <w:sz w:val="20"/>
                <w:szCs w:val="20"/>
              </w:rPr>
              <w:t xml:space="preserve">). </w:t>
            </w:r>
            <w:r w:rsidRPr="009248F1">
              <w:rPr>
                <w:rFonts w:ascii="Cambria" w:hAnsi="Cambria"/>
                <w:sz w:val="20"/>
                <w:szCs w:val="20"/>
              </w:rPr>
              <w:t>La tarifa general del impuesto sobre la renta aplicable a las sociedades nacionales y sus asimiladas, los establecimientos permanentes de entidades del exterior y las personas jurídicas extranjeras con o sin residencia en el país, obligadas a presentar la declaración anual del impuesto sobre la renta y complementarios, será del treinta y cinco por ciento (35%).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bCs/>
                <w:sz w:val="20"/>
                <w:szCs w:val="20"/>
              </w:rPr>
              <w:t>PARÁGRAFO 1</w:t>
            </w:r>
            <w:r w:rsidRPr="009248F1">
              <w:rPr>
                <w:rFonts w:ascii="Cambria" w:hAnsi="Cambria"/>
                <w:sz w:val="20"/>
                <w:szCs w:val="20"/>
              </w:rPr>
              <w:t>. Estarán gravadas a la tarifa del 9% las rentas obtenidas por las empresas industriales y comerciales del Estado y las sociedades de economía mixta del orden Departamental, Municipal y Distrital, en las cuales la participación del Estado sea superior del 90% que ejerzan los monopolios de suerte y azar y de licores y alcoholes. </w:t>
            </w:r>
          </w:p>
          <w:p w:rsidR="00287157" w:rsidRPr="009248F1" w:rsidRDefault="00287157" w:rsidP="00287157">
            <w:pPr>
              <w:jc w:val="both"/>
              <w:rPr>
                <w:rFonts w:ascii="Cambria" w:hAnsi="Cambria"/>
                <w:b/>
                <w:bCs/>
                <w:sz w:val="20"/>
                <w:szCs w:val="20"/>
              </w:rPr>
            </w:pPr>
          </w:p>
          <w:p w:rsidR="00287157" w:rsidRDefault="00287157" w:rsidP="00287157">
            <w:pPr>
              <w:pStyle w:val="Default"/>
              <w:jc w:val="both"/>
              <w:rPr>
                <w:color w:val="auto"/>
                <w:sz w:val="20"/>
                <w:szCs w:val="20"/>
              </w:rPr>
            </w:pPr>
            <w:r w:rsidRPr="009248F1">
              <w:rPr>
                <w:rFonts w:ascii="Cambria" w:hAnsi="Cambria"/>
                <w:b/>
                <w:bCs/>
                <w:sz w:val="20"/>
                <w:szCs w:val="20"/>
              </w:rPr>
              <w:t xml:space="preserve">PARÁGRAFO 2. </w:t>
            </w:r>
            <w:r w:rsidRPr="009248F1">
              <w:rPr>
                <w:rFonts w:ascii="Cambria" w:hAnsi="Cambria"/>
                <w:sz w:val="20"/>
                <w:szCs w:val="20"/>
              </w:rPr>
              <w:t xml:space="preserve">Las instituciones financieras, las entidades aseguradoras y reaseguradoras, las sociedades comisionistas de bolsa de valores, las sociedades comisionistas agropecuarias, las bolsas de bienes y productos agropecuarios, agroindustriales o de otros commodities y los proveedores de infraestructura del </w:t>
            </w:r>
            <w:r w:rsidRPr="009248F1">
              <w:rPr>
                <w:rFonts w:ascii="Cambria" w:hAnsi="Cambria"/>
                <w:color w:val="auto"/>
                <w:sz w:val="20"/>
                <w:szCs w:val="20"/>
              </w:rPr>
              <w:t xml:space="preserve">mercado de valores deberán liquidar </w:t>
            </w:r>
            <w:r w:rsidRPr="009248F1">
              <w:rPr>
                <w:rFonts w:ascii="Cambria" w:hAnsi="Cambria"/>
                <w:color w:val="auto"/>
                <w:sz w:val="20"/>
                <w:szCs w:val="20"/>
                <w:highlight w:val="yellow"/>
              </w:rPr>
              <w:t>quince (15)</w:t>
            </w:r>
            <w:r w:rsidRPr="009248F1">
              <w:rPr>
                <w:rFonts w:ascii="Cambria" w:hAnsi="Cambria"/>
                <w:color w:val="auto"/>
                <w:sz w:val="20"/>
                <w:szCs w:val="20"/>
              </w:rPr>
              <w:t xml:space="preserve"> puntos adicionales al impuesto sobre la renta y complementarios, siendo en total la tarifa del </w:t>
            </w:r>
            <w:r w:rsidRPr="009248F1">
              <w:rPr>
                <w:rFonts w:ascii="Cambria" w:hAnsi="Cambria"/>
                <w:color w:val="auto"/>
                <w:sz w:val="20"/>
                <w:szCs w:val="20"/>
                <w:highlight w:val="yellow"/>
              </w:rPr>
              <w:t>cincuenta por ciento (50%).</w:t>
            </w:r>
          </w:p>
          <w:p w:rsidR="00287157" w:rsidRDefault="00287157" w:rsidP="00287157">
            <w:pPr>
              <w:pStyle w:val="Default"/>
              <w:jc w:val="both"/>
              <w:rPr>
                <w:color w:val="auto"/>
                <w:sz w:val="20"/>
                <w:szCs w:val="20"/>
              </w:rPr>
            </w:pPr>
          </w:p>
          <w:p w:rsidR="00287157" w:rsidRPr="009248F1" w:rsidRDefault="00287157" w:rsidP="00287157">
            <w:pPr>
              <w:pStyle w:val="Default"/>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Los puntos adicionales de los que trata el presente parágrafo solo son aplicables a las personas jurídicas que, en el año gravable correspondiente, tengan una renta gravable igual o superior a 120.000 UVT.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de que trata este parágrafo está sujeta a un anticipo del ciento por ciento (100%) del valor de la misma, calculado sobre la base gravable del impuesto sobre la renta y complementarios sobre la cual el contribuyente liquidó el mencionado impuesto para el año gravable inmediatamente anterior. El anticipo de la sobretasa del impuesto sobre la renta y complementarios deberá pagarse en dos cuotas iguales anuales en los plazos que fije el reglamento. </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Con el fin de contribuir al bienestar general y al mejoramiento de la calidad de vida de la población, 3 puntos del recaudo por concepto de la sobretasa de que trata este parágrafo se destinará a la financiación de vías de la Red Vial Terciaria. El Gobierno nacional determinará las condiciones y la forma de asignación </w:t>
            </w:r>
            <w:r w:rsidRPr="009248F1">
              <w:rPr>
                <w:rFonts w:ascii="Cambria" w:hAnsi="Cambria"/>
                <w:sz w:val="20"/>
                <w:szCs w:val="20"/>
              </w:rPr>
              <w:lastRenderedPageBreak/>
              <w:t>de los recursos recaudados, así como el mecanismo para la ejecución de los mismos, dando prioridad en todo caso a los proyectos viales de municipios PDET.</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PARÁGRAFO 3. Las sociedades nacionales y sus asimiladas, los establecimientos permanentes de entidades del exterior y las personas jurídicas extranjeras con o sin residencia en el país, deberán adicionar a la tarifa general del impuesto sobre la renta unos puntos adicionales, cuando desarrollen alguna o algunas de las siguientes actividades económicas,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1. Extracción de hulla (carbón de piedra) CIIU – 0510 y extracción de </w:t>
            </w:r>
            <w:proofErr w:type="spellStart"/>
            <w:r w:rsidRPr="009248F1">
              <w:rPr>
                <w:rFonts w:ascii="Cambria" w:hAnsi="Cambria"/>
                <w:sz w:val="20"/>
                <w:szCs w:val="20"/>
              </w:rPr>
              <w:t>carbónlignito</w:t>
            </w:r>
            <w:proofErr w:type="spellEnd"/>
            <w:r w:rsidRPr="009248F1">
              <w:rPr>
                <w:rFonts w:ascii="Cambria" w:hAnsi="Cambria"/>
                <w:sz w:val="20"/>
                <w:szCs w:val="20"/>
              </w:rPr>
              <w:t xml:space="preserve"> CIIU – 0520,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tbl>
            <w:tblPr>
              <w:tblStyle w:val="Tablaconcuadrcula"/>
              <w:tblW w:w="0" w:type="auto"/>
              <w:tblLook w:val="04A0" w:firstRow="1" w:lastRow="0" w:firstColumn="1" w:lastColumn="0" w:noHBand="0" w:noVBand="1"/>
            </w:tblPr>
            <w:tblGrid>
              <w:gridCol w:w="1178"/>
              <w:gridCol w:w="3441"/>
            </w:tblGrid>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en la tarifa</w:t>
                  </w:r>
                </w:p>
                <w:p w:rsidR="00287157" w:rsidRPr="009248F1" w:rsidRDefault="00287157" w:rsidP="00287157">
                  <w:pPr>
                    <w:rPr>
                      <w:rFonts w:ascii="Cambria" w:hAnsi="Cambria"/>
                      <w:sz w:val="20"/>
                      <w:szCs w:val="20"/>
                    </w:rPr>
                  </w:pPr>
                  <w:r w:rsidRPr="009248F1">
                    <w:rPr>
                      <w:rFonts w:ascii="Cambria" w:hAnsi="Cambria"/>
                      <w:sz w:val="20"/>
                      <w:szCs w:val="20"/>
                    </w:rPr>
                    <w:t>del</w:t>
                  </w:r>
                </w:p>
                <w:p w:rsidR="00287157" w:rsidRPr="009248F1" w:rsidRDefault="00287157" w:rsidP="00287157">
                  <w:pPr>
                    <w:rPr>
                      <w:rFonts w:ascii="Cambria" w:hAnsi="Cambria"/>
                      <w:sz w:val="20"/>
                      <w:szCs w:val="20"/>
                    </w:rPr>
                  </w:pPr>
                  <w:r w:rsidRPr="009248F1">
                    <w:rPr>
                      <w:rFonts w:ascii="Cambria" w:hAnsi="Cambria"/>
                      <w:sz w:val="20"/>
                      <w:szCs w:val="20"/>
                    </w:rPr>
                    <w:t>impuesto</w:t>
                  </w:r>
                </w:p>
                <w:p w:rsidR="00287157" w:rsidRPr="009248F1" w:rsidRDefault="00287157" w:rsidP="00287157">
                  <w:pPr>
                    <w:rPr>
                      <w:rFonts w:ascii="Cambria" w:hAnsi="Cambria"/>
                      <w:sz w:val="20"/>
                      <w:szCs w:val="20"/>
                    </w:rPr>
                  </w:pPr>
                  <w:r w:rsidRPr="009248F1">
                    <w:rPr>
                      <w:rFonts w:ascii="Cambria" w:hAnsi="Cambria"/>
                      <w:sz w:val="20"/>
                      <w:szCs w:val="20"/>
                    </w:rPr>
                    <w:t>sobre la</w:t>
                  </w:r>
                </w:p>
                <w:p w:rsidR="00287157" w:rsidRPr="009248F1" w:rsidRDefault="00287157" w:rsidP="00287157">
                  <w:pPr>
                    <w:rPr>
                      <w:rFonts w:ascii="Cambria" w:hAnsi="Cambria"/>
                      <w:sz w:val="20"/>
                      <w:szCs w:val="20"/>
                    </w:rPr>
                  </w:pPr>
                  <w:r w:rsidRPr="009248F1">
                    <w:rPr>
                      <w:rFonts w:ascii="Cambria" w:hAnsi="Cambria"/>
                      <w:sz w:val="20"/>
                      <w:szCs w:val="20"/>
                    </w:rPr>
                    <w:t>renta</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rPr>
                      <w:rFonts w:ascii="Cambria" w:hAnsi="Cambria"/>
                      <w:sz w:val="20"/>
                      <w:szCs w:val="20"/>
                    </w:rPr>
                  </w:pPr>
                  <w:r w:rsidRPr="009248F1">
                    <w:rPr>
                      <w:rFonts w:ascii="Cambria" w:hAnsi="Cambria"/>
                      <w:sz w:val="20"/>
                      <w:szCs w:val="20"/>
                    </w:rPr>
                    <w:t>Condición de adición de los puntos adicionales</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Cero (</w:t>
                  </w:r>
                  <w:r w:rsidRPr="009248F1">
                    <w:rPr>
                      <w:rFonts w:ascii="Cambria" w:hAnsi="Cambria"/>
                      <w:sz w:val="20"/>
                      <w:szCs w:val="20"/>
                    </w:rPr>
                    <w:t>0</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(0%)</w:t>
                  </w:r>
                </w:p>
                <w:p w:rsidR="00287157" w:rsidRPr="009248F1" w:rsidRDefault="00287157" w:rsidP="00287157">
                  <w:pPr>
                    <w:tabs>
                      <w:tab w:val="left" w:pos="413"/>
                    </w:tabs>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debajo del percentil</w:t>
                  </w:r>
                  <w:r>
                    <w:rPr>
                      <w:rFonts w:ascii="Cambria" w:hAnsi="Cambria"/>
                      <w:sz w:val="20"/>
                      <w:szCs w:val="20"/>
                    </w:rPr>
                    <w:t xml:space="preserve"> </w:t>
                  </w:r>
                  <w:r w:rsidRPr="00172FAC">
                    <w:rPr>
                      <w:rFonts w:ascii="Cambria" w:hAnsi="Cambria"/>
                      <w:sz w:val="20"/>
                      <w:szCs w:val="20"/>
                      <w:highlight w:val="yellow"/>
                    </w:rPr>
                    <w:t xml:space="preserve">treinta </w:t>
                  </w:r>
                  <w:r w:rsidRPr="00172FAC">
                    <w:rPr>
                      <w:rFonts w:ascii="Cambria" w:hAnsi="Cambria"/>
                      <w:color w:val="000000" w:themeColor="text1"/>
                      <w:sz w:val="20"/>
                      <w:szCs w:val="20"/>
                      <w:highlight w:val="yellow"/>
                    </w:rPr>
                    <w:t>(30)</w:t>
                  </w:r>
                  <w:r w:rsidRPr="009248F1">
                    <w:rPr>
                      <w:rFonts w:ascii="Cambria" w:hAnsi="Cambria"/>
                      <w:color w:val="000000" w:themeColor="text1"/>
                      <w:sz w:val="20"/>
                      <w:szCs w:val="20"/>
                    </w:rPr>
                    <w:t xml:space="preserve"> d</w:t>
                  </w:r>
                  <w:r w:rsidRPr="009248F1">
                    <w:rPr>
                      <w:rFonts w:ascii="Cambria" w:hAnsi="Cambria"/>
                      <w:sz w:val="20"/>
                      <w:szCs w:val="20"/>
                    </w:rPr>
                    <w:t>e los precios promedio mensuales de los últimos</w:t>
                  </w:r>
                  <w:r>
                    <w:rPr>
                      <w:rFonts w:ascii="Cambria" w:hAnsi="Cambria"/>
                      <w:sz w:val="20"/>
                      <w:szCs w:val="20"/>
                    </w:rPr>
                    <w:t xml:space="preserve"> ciento veinte</w:t>
                  </w:r>
                  <w:r w:rsidRPr="009248F1">
                    <w:rPr>
                      <w:rFonts w:ascii="Cambria" w:hAnsi="Cambria"/>
                      <w:sz w:val="20"/>
                      <w:szCs w:val="20"/>
                    </w:rPr>
                    <w:t xml:space="preserve"> </w:t>
                  </w:r>
                  <w:r>
                    <w:rPr>
                      <w:rFonts w:ascii="Cambria" w:hAnsi="Cambria"/>
                      <w:sz w:val="20"/>
                      <w:szCs w:val="20"/>
                    </w:rPr>
                    <w:t>(</w:t>
                  </w:r>
                  <w:r w:rsidRPr="009248F1">
                    <w:rPr>
                      <w:rFonts w:ascii="Cambria" w:hAnsi="Cambria"/>
                      <w:sz w:val="20"/>
                      <w:szCs w:val="20"/>
                    </w:rPr>
                    <w:t>120</w:t>
                  </w:r>
                  <w:r>
                    <w:rPr>
                      <w:rFonts w:ascii="Cambria" w:hAnsi="Cambria"/>
                      <w:sz w:val="20"/>
                      <w:szCs w:val="20"/>
                    </w:rPr>
                    <w:t>)</w:t>
                  </w:r>
                  <w:r w:rsidRPr="009248F1">
                    <w:rPr>
                      <w:rFonts w:ascii="Cambria" w:hAnsi="Cambria"/>
                      <w:sz w:val="20"/>
                      <w:szCs w:val="20"/>
                    </w:rPr>
                    <w:t xml:space="preserve"> meses, sin incluir 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Cinco (</w:t>
                  </w:r>
                  <w:r w:rsidRPr="009248F1">
                    <w:rPr>
                      <w:rFonts w:ascii="Cambria" w:hAnsi="Cambria"/>
                      <w:sz w:val="20"/>
                      <w:szCs w:val="20"/>
                    </w:rPr>
                    <w:t>5</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Cinco por ciento </w:t>
                  </w:r>
                  <w:r w:rsidRPr="009248F1">
                    <w:rPr>
                      <w:rFonts w:ascii="Cambria" w:hAnsi="Cambria"/>
                      <w:sz w:val="20"/>
                      <w:szCs w:val="20"/>
                    </w:rPr>
                    <w:t>(5%)</w:t>
                  </w:r>
                </w:p>
                <w:p w:rsidR="00287157" w:rsidRPr="00172FAC" w:rsidRDefault="00287157" w:rsidP="00287157">
                  <w:pPr>
                    <w:rPr>
                      <w:rFonts w:ascii="Cambria" w:hAnsi="Cambria"/>
                      <w:b/>
                      <w:bCs/>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entre el </w:t>
                  </w:r>
                  <w:r w:rsidRPr="009248F1">
                    <w:rPr>
                      <w:rFonts w:ascii="Cambria" w:hAnsi="Cambria"/>
                      <w:color w:val="000000" w:themeColor="text1"/>
                      <w:sz w:val="20"/>
                      <w:szCs w:val="20"/>
                    </w:rPr>
                    <w:t xml:space="preserve">percentil </w:t>
                  </w:r>
                  <w:r>
                    <w:rPr>
                      <w:rFonts w:ascii="Cambria" w:hAnsi="Cambria"/>
                      <w:color w:val="000000" w:themeColor="text1"/>
                      <w:sz w:val="20"/>
                      <w:szCs w:val="20"/>
                      <w:highlight w:val="yellow"/>
                    </w:rPr>
                    <w:t>treinta</w:t>
                  </w:r>
                  <w:r w:rsidRPr="00172FAC">
                    <w:rPr>
                      <w:rFonts w:ascii="Cambria" w:hAnsi="Cambria"/>
                      <w:color w:val="000000" w:themeColor="text1"/>
                      <w:sz w:val="20"/>
                      <w:szCs w:val="20"/>
                      <w:highlight w:val="yellow"/>
                    </w:rPr>
                    <w:t xml:space="preserve"> (</w:t>
                  </w:r>
                  <w:r>
                    <w:rPr>
                      <w:rFonts w:ascii="Cambria" w:hAnsi="Cambria"/>
                      <w:color w:val="000000" w:themeColor="text1"/>
                      <w:sz w:val="20"/>
                      <w:szCs w:val="20"/>
                      <w:highlight w:val="yellow"/>
                    </w:rPr>
                    <w:t>30</w:t>
                  </w:r>
                  <w:r w:rsidRPr="00172FAC">
                    <w:rPr>
                      <w:rFonts w:ascii="Cambria" w:hAnsi="Cambria"/>
                      <w:color w:val="000000" w:themeColor="text1"/>
                      <w:sz w:val="20"/>
                      <w:szCs w:val="20"/>
                      <w:highlight w:val="yellow"/>
                    </w:rPr>
                    <w:t xml:space="preserve">) y </w:t>
                  </w:r>
                  <w:r>
                    <w:rPr>
                      <w:rFonts w:ascii="Cambria" w:hAnsi="Cambria"/>
                      <w:color w:val="000000" w:themeColor="text1"/>
                      <w:sz w:val="20"/>
                      <w:szCs w:val="20"/>
                      <w:highlight w:val="yellow"/>
                    </w:rPr>
                    <w:t>cuarenta</w:t>
                  </w:r>
                  <w:r w:rsidRPr="00172FAC">
                    <w:rPr>
                      <w:rFonts w:ascii="Cambria" w:hAnsi="Cambria"/>
                      <w:color w:val="000000" w:themeColor="text1"/>
                      <w:sz w:val="20"/>
                      <w:szCs w:val="20"/>
                      <w:highlight w:val="yellow"/>
                    </w:rPr>
                    <w:t xml:space="preserve"> y cinco (</w:t>
                  </w:r>
                  <w:r>
                    <w:rPr>
                      <w:rFonts w:ascii="Cambria" w:hAnsi="Cambria"/>
                      <w:color w:val="000000" w:themeColor="text1"/>
                      <w:sz w:val="20"/>
                      <w:szCs w:val="20"/>
                      <w:highlight w:val="yellow"/>
                    </w:rPr>
                    <w:t>4</w:t>
                  </w:r>
                  <w:r w:rsidRPr="00172FAC">
                    <w:rPr>
                      <w:rFonts w:ascii="Cambria" w:hAnsi="Cambria"/>
                      <w:color w:val="000000" w:themeColor="text1"/>
                      <w:sz w:val="20"/>
                      <w:szCs w:val="20"/>
                      <w:highlight w:val="yellow"/>
                    </w:rPr>
                    <w:t>5)</w:t>
                  </w:r>
                  <w:r w:rsidRPr="009248F1">
                    <w:rPr>
                      <w:rFonts w:ascii="Cambria" w:hAnsi="Cambria"/>
                      <w:color w:val="000000" w:themeColor="text1"/>
                      <w:sz w:val="20"/>
                      <w:szCs w:val="20"/>
                    </w:rPr>
                    <w:t xml:space="preserve">  de </w:t>
                  </w:r>
                  <w:r w:rsidRPr="009248F1">
                    <w:rPr>
                      <w:rFonts w:ascii="Cambria" w:hAnsi="Cambria"/>
                      <w:sz w:val="20"/>
                      <w:szCs w:val="20"/>
                    </w:rPr>
                    <w:t>los precios promedio mensuales de los últimos</w:t>
                  </w:r>
                  <w:r>
                    <w:rPr>
                      <w:rFonts w:ascii="Cambria" w:hAnsi="Cambria"/>
                      <w:sz w:val="20"/>
                      <w:szCs w:val="20"/>
                    </w:rPr>
                    <w:t xml:space="preserve"> ciento veinte</w:t>
                  </w:r>
                  <w:r w:rsidRPr="009248F1">
                    <w:rPr>
                      <w:rFonts w:ascii="Cambria" w:hAnsi="Cambria"/>
                      <w:sz w:val="20"/>
                      <w:szCs w:val="20"/>
                    </w:rPr>
                    <w:t xml:space="preserve"> </w:t>
                  </w:r>
                  <w:r>
                    <w:rPr>
                      <w:rFonts w:ascii="Cambria" w:hAnsi="Cambria"/>
                      <w:sz w:val="20"/>
                      <w:szCs w:val="20"/>
                    </w:rPr>
                    <w:t>(</w:t>
                  </w:r>
                  <w:r w:rsidRPr="009248F1">
                    <w:rPr>
                      <w:rFonts w:ascii="Cambria" w:hAnsi="Cambria"/>
                      <w:sz w:val="20"/>
                      <w:szCs w:val="20"/>
                    </w:rPr>
                    <w:t>120</w:t>
                  </w:r>
                  <w:r>
                    <w:rPr>
                      <w:rFonts w:ascii="Cambria" w:hAnsi="Cambria"/>
                      <w:sz w:val="20"/>
                      <w:szCs w:val="20"/>
                    </w:rPr>
                    <w:t>) meses</w:t>
                  </w:r>
                  <w:r w:rsidRPr="009248F1">
                    <w:rPr>
                      <w:rFonts w:ascii="Cambria" w:hAnsi="Cambria"/>
                      <w:sz w:val="20"/>
                      <w:szCs w:val="20"/>
                    </w:rPr>
                    <w:t>, sin incluir 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Diez (</w:t>
                  </w:r>
                  <w:r w:rsidRPr="009248F1">
                    <w:rPr>
                      <w:rFonts w:ascii="Cambria" w:hAnsi="Cambria"/>
                      <w:sz w:val="20"/>
                      <w:szCs w:val="20"/>
                    </w:rPr>
                    <w:t>10</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Diez por ciento </w:t>
                  </w:r>
                  <w:r w:rsidRPr="009248F1">
                    <w:rPr>
                      <w:rFonts w:ascii="Cambria" w:hAnsi="Cambria"/>
                      <w:sz w:val="20"/>
                      <w:szCs w:val="20"/>
                    </w:rPr>
                    <w:t>(10%)</w:t>
                  </w:r>
                </w:p>
                <w:p w:rsidR="00287157" w:rsidRPr="009248F1" w:rsidRDefault="00287157" w:rsidP="00287157">
                  <w:pPr>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 xml:space="preserve">Cuando el precio promedio del respectivo año gravable objeto de declaración se encuentre por </w:t>
                  </w:r>
                  <w:r w:rsidRPr="006B10FA">
                    <w:rPr>
                      <w:rFonts w:ascii="Cambria" w:hAnsi="Cambria"/>
                      <w:sz w:val="20"/>
                      <w:szCs w:val="20"/>
                      <w:highlight w:val="yellow"/>
                    </w:rPr>
                    <w:t xml:space="preserve">encima del </w:t>
                  </w:r>
                  <w:r w:rsidRPr="006B10FA">
                    <w:rPr>
                      <w:rFonts w:ascii="Cambria" w:hAnsi="Cambria"/>
                      <w:color w:val="000000" w:themeColor="text1"/>
                      <w:sz w:val="20"/>
                      <w:szCs w:val="20"/>
                      <w:highlight w:val="yellow"/>
                    </w:rPr>
                    <w:t>percentil cuarenta y cinco (45) y entre el percentil sesenta (60)</w:t>
                  </w:r>
                  <w:r w:rsidRPr="009248F1">
                    <w:rPr>
                      <w:rFonts w:ascii="Cambria" w:hAnsi="Cambria"/>
                      <w:color w:val="000000" w:themeColor="text1"/>
                      <w:sz w:val="20"/>
                      <w:szCs w:val="20"/>
                    </w:rPr>
                    <w:t xml:space="preserve"> de los </w:t>
                  </w:r>
                  <w:r w:rsidRPr="009248F1">
                    <w:rPr>
                      <w:rFonts w:ascii="Cambria" w:hAnsi="Cambria"/>
                      <w:sz w:val="20"/>
                      <w:szCs w:val="20"/>
                    </w:rPr>
                    <w:t>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6B10FA" w:rsidRDefault="00287157" w:rsidP="00287157">
                  <w:pPr>
                    <w:rPr>
                      <w:rFonts w:ascii="Cambria" w:hAnsi="Cambria"/>
                      <w:sz w:val="20"/>
                      <w:szCs w:val="20"/>
                      <w:highlight w:val="yellow"/>
                    </w:rPr>
                  </w:pPr>
                  <w:r w:rsidRPr="006B10FA">
                    <w:rPr>
                      <w:rFonts w:ascii="Cambria" w:hAnsi="Cambria"/>
                      <w:sz w:val="20"/>
                      <w:szCs w:val="20"/>
                      <w:highlight w:val="yellow"/>
                    </w:rPr>
                    <w:lastRenderedPageBreak/>
                    <w:t>Quince (15) puntos</w:t>
                  </w:r>
                </w:p>
                <w:p w:rsidR="00287157" w:rsidRPr="006B10FA" w:rsidRDefault="00287157" w:rsidP="00287157">
                  <w:pPr>
                    <w:rPr>
                      <w:rFonts w:ascii="Cambria" w:hAnsi="Cambria"/>
                      <w:sz w:val="20"/>
                      <w:szCs w:val="20"/>
                      <w:highlight w:val="yellow"/>
                    </w:rPr>
                  </w:pPr>
                  <w:r w:rsidRPr="006B10FA">
                    <w:rPr>
                      <w:rFonts w:ascii="Cambria" w:hAnsi="Cambria"/>
                      <w:sz w:val="20"/>
                      <w:szCs w:val="20"/>
                      <w:highlight w:val="yellow"/>
                    </w:rPr>
                    <w:t>adicionales</w:t>
                  </w:r>
                </w:p>
                <w:p w:rsidR="00287157" w:rsidRPr="006B10FA" w:rsidRDefault="00287157" w:rsidP="00287157">
                  <w:pPr>
                    <w:rPr>
                      <w:rFonts w:ascii="Cambria" w:hAnsi="Cambria"/>
                      <w:sz w:val="20"/>
                      <w:szCs w:val="20"/>
                      <w:highlight w:val="yellow"/>
                    </w:rPr>
                  </w:pPr>
                  <w:r w:rsidRPr="006B10FA">
                    <w:rPr>
                      <w:rFonts w:ascii="Cambria" w:hAnsi="Cambria"/>
                      <w:sz w:val="20"/>
                      <w:szCs w:val="20"/>
                      <w:highlight w:val="yellow"/>
                    </w:rPr>
                    <w:t>Quince por ciento (15%)</w:t>
                  </w:r>
                </w:p>
                <w:p w:rsidR="00287157" w:rsidRPr="006B10FA" w:rsidRDefault="00287157" w:rsidP="00287157">
                  <w:pPr>
                    <w:rPr>
                      <w:rFonts w:ascii="Cambria" w:hAnsi="Cambria"/>
                      <w:sz w:val="20"/>
                      <w:szCs w:val="20"/>
                      <w:highlight w:val="yellow"/>
                    </w:rPr>
                  </w:pPr>
                </w:p>
              </w:tc>
              <w:tc>
                <w:tcPr>
                  <w:tcW w:w="3441" w:type="dxa"/>
                </w:tcPr>
                <w:p w:rsidR="00287157" w:rsidRPr="006B10FA" w:rsidRDefault="00287157" w:rsidP="00287157">
                  <w:pPr>
                    <w:pStyle w:val="Default"/>
                    <w:jc w:val="both"/>
                    <w:rPr>
                      <w:rFonts w:ascii="Cambria" w:hAnsi="Cambria"/>
                      <w:highlight w:val="yellow"/>
                    </w:rPr>
                  </w:pPr>
                  <w:r w:rsidRPr="006B10FA">
                    <w:rPr>
                      <w:rFonts w:ascii="Cambria" w:hAnsi="Cambria"/>
                      <w:highlight w:val="yellow"/>
                    </w:rPr>
                    <w:t xml:space="preserve">Cuando el precio promedio del respectivo año gravable objeto de declaración se encuentre por encima del percentil sesenta (60) de los precios promedio mensuales de los últimos ciento veinte (120) meses, sin incluir el precio de los meses transcurridos en el año de la declaración </w:t>
                  </w:r>
                </w:p>
                <w:p w:rsidR="00287157" w:rsidRPr="006B10FA" w:rsidRDefault="00287157" w:rsidP="00287157">
                  <w:pPr>
                    <w:jc w:val="both"/>
                    <w:rPr>
                      <w:rFonts w:ascii="Cambria" w:hAnsi="Cambria"/>
                      <w:highlight w:val="yellow"/>
                      <w:lang w:val="es-MX"/>
                    </w:rPr>
                  </w:pPr>
                </w:p>
              </w:tc>
            </w:tr>
          </w:tbl>
          <w:p w:rsidR="00287157" w:rsidRDefault="00287157" w:rsidP="00287157">
            <w:pPr>
              <w:jc w:val="both"/>
              <w:rPr>
                <w:rFonts w:ascii="Cambria" w:hAnsi="Cambria"/>
                <w:sz w:val="20"/>
                <w:szCs w:val="20"/>
              </w:rPr>
            </w:pPr>
          </w:p>
          <w:p w:rsidR="00A4689F" w:rsidRDefault="00A4689F"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Los precios de la tabla anterior para las actividades económicas extracción de hulla (carbón de piedra) CIIU - 0510 y extracción de carbón lignito CIIU – 0520, corresponderán al precio promedio internacional del carbón de referencia API2, restado por el valor del flete BCI7 (API2 – BCI7) USD/Tonelada, deflactado con el Índice de Precios al Consumidor para todos los consumidores urbanos de los Estados Unidos de América, publicado por la Oficina de Estadísticas Laborales de ese país.</w:t>
            </w:r>
          </w:p>
          <w:p w:rsidR="00287157" w:rsidRDefault="00287157" w:rsidP="00287157">
            <w:pPr>
              <w:jc w:val="both"/>
              <w:rPr>
                <w:rFonts w:ascii="Cambria" w:hAnsi="Cambria"/>
                <w:sz w:val="20"/>
                <w:szCs w:val="20"/>
              </w:rPr>
            </w:pPr>
          </w:p>
          <w:p w:rsidR="00287157"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Extracción de petróleo crudo CIIU – 0610, así:</w:t>
            </w:r>
          </w:p>
          <w:p w:rsidR="00287157" w:rsidRPr="009248F1" w:rsidRDefault="00287157" w:rsidP="00287157">
            <w:pPr>
              <w:jc w:val="both"/>
              <w:rPr>
                <w:rFonts w:ascii="Cambria" w:hAnsi="Cambria" w:cstheme="minorHAnsi"/>
                <w:b/>
                <w:color w:val="000000" w:themeColor="text1"/>
                <w:sz w:val="20"/>
                <w:szCs w:val="20"/>
                <w:lang w:eastAsia="es-CO"/>
              </w:rPr>
            </w:pPr>
          </w:p>
          <w:tbl>
            <w:tblPr>
              <w:tblStyle w:val="Tablaconcuadrcula"/>
              <w:tblW w:w="0" w:type="auto"/>
              <w:tblLook w:val="04A0" w:firstRow="1" w:lastRow="0" w:firstColumn="1" w:lastColumn="0" w:noHBand="0" w:noVBand="1"/>
            </w:tblPr>
            <w:tblGrid>
              <w:gridCol w:w="1178"/>
              <w:gridCol w:w="3441"/>
            </w:tblGrid>
            <w:tr w:rsidR="00287157" w:rsidRPr="009248F1" w:rsidTr="00C83CB4">
              <w:tc>
                <w:tcPr>
                  <w:tcW w:w="1117" w:type="dxa"/>
                </w:tcPr>
                <w:p w:rsidR="00287157" w:rsidRPr="009248F1" w:rsidRDefault="00287157" w:rsidP="00287157">
                  <w:pPr>
                    <w:rPr>
                      <w:rFonts w:ascii="Cambria" w:hAnsi="Cambria"/>
                      <w:sz w:val="20"/>
                      <w:szCs w:val="20"/>
                    </w:rPr>
                  </w:pPr>
                  <w:r w:rsidRPr="009248F1">
                    <w:rPr>
                      <w:rFonts w:ascii="Cambria" w:hAnsi="Cambria"/>
                      <w:sz w:val="20"/>
                      <w:szCs w:val="20"/>
                    </w:rPr>
                    <w:t>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sidRPr="009248F1">
                    <w:rPr>
                      <w:rFonts w:ascii="Cambria" w:hAnsi="Cambria"/>
                      <w:sz w:val="20"/>
                      <w:szCs w:val="20"/>
                    </w:rPr>
                    <w:t>en la tarifa</w:t>
                  </w:r>
                </w:p>
                <w:p w:rsidR="00287157" w:rsidRPr="009248F1" w:rsidRDefault="00287157" w:rsidP="00287157">
                  <w:pPr>
                    <w:rPr>
                      <w:rFonts w:ascii="Cambria" w:hAnsi="Cambria"/>
                      <w:sz w:val="20"/>
                      <w:szCs w:val="20"/>
                    </w:rPr>
                  </w:pPr>
                  <w:r w:rsidRPr="009248F1">
                    <w:rPr>
                      <w:rFonts w:ascii="Cambria" w:hAnsi="Cambria"/>
                      <w:sz w:val="20"/>
                      <w:szCs w:val="20"/>
                    </w:rPr>
                    <w:t>del</w:t>
                  </w:r>
                </w:p>
                <w:p w:rsidR="00287157" w:rsidRPr="009248F1" w:rsidRDefault="00287157" w:rsidP="00287157">
                  <w:pPr>
                    <w:rPr>
                      <w:rFonts w:ascii="Cambria" w:hAnsi="Cambria"/>
                      <w:sz w:val="20"/>
                      <w:szCs w:val="20"/>
                    </w:rPr>
                  </w:pPr>
                  <w:r w:rsidRPr="009248F1">
                    <w:rPr>
                      <w:rFonts w:ascii="Cambria" w:hAnsi="Cambria"/>
                      <w:sz w:val="20"/>
                      <w:szCs w:val="20"/>
                    </w:rPr>
                    <w:t>impuesto</w:t>
                  </w:r>
                </w:p>
                <w:p w:rsidR="00287157" w:rsidRPr="009248F1" w:rsidRDefault="00287157" w:rsidP="00287157">
                  <w:pPr>
                    <w:rPr>
                      <w:rFonts w:ascii="Cambria" w:hAnsi="Cambria"/>
                      <w:sz w:val="20"/>
                      <w:szCs w:val="20"/>
                    </w:rPr>
                  </w:pPr>
                  <w:r w:rsidRPr="009248F1">
                    <w:rPr>
                      <w:rFonts w:ascii="Cambria" w:hAnsi="Cambria"/>
                      <w:sz w:val="20"/>
                      <w:szCs w:val="20"/>
                    </w:rPr>
                    <w:t>sobre la</w:t>
                  </w:r>
                </w:p>
                <w:p w:rsidR="00287157" w:rsidRPr="009248F1" w:rsidRDefault="00287157" w:rsidP="00287157">
                  <w:pPr>
                    <w:rPr>
                      <w:rFonts w:ascii="Cambria" w:hAnsi="Cambria"/>
                      <w:sz w:val="20"/>
                      <w:szCs w:val="20"/>
                    </w:rPr>
                  </w:pPr>
                  <w:r w:rsidRPr="009248F1">
                    <w:rPr>
                      <w:rFonts w:ascii="Cambria" w:hAnsi="Cambria"/>
                      <w:sz w:val="20"/>
                      <w:szCs w:val="20"/>
                    </w:rPr>
                    <w:t>renta</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rPr>
                      <w:rFonts w:ascii="Cambria" w:hAnsi="Cambria"/>
                      <w:sz w:val="20"/>
                      <w:szCs w:val="20"/>
                    </w:rPr>
                  </w:pPr>
                  <w:r w:rsidRPr="009248F1">
                    <w:rPr>
                      <w:rFonts w:ascii="Cambria" w:hAnsi="Cambria"/>
                      <w:sz w:val="20"/>
                      <w:szCs w:val="20"/>
                    </w:rPr>
                    <w:t>Condición de adición de los puntos adicionales</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 xml:space="preserve">Cero </w:t>
                  </w:r>
                  <w:r w:rsidRPr="009248F1">
                    <w:rPr>
                      <w:rFonts w:ascii="Cambria" w:hAnsi="Cambria"/>
                      <w:sz w:val="20"/>
                      <w:szCs w:val="20"/>
                    </w:rPr>
                    <w:t>0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Cero </w:t>
                  </w:r>
                  <w:r w:rsidRPr="009248F1">
                    <w:rPr>
                      <w:rFonts w:ascii="Cambria" w:hAnsi="Cambria"/>
                      <w:sz w:val="20"/>
                      <w:szCs w:val="20"/>
                    </w:rPr>
                    <w:t>(0%)</w:t>
                  </w:r>
                </w:p>
                <w:p w:rsidR="00287157" w:rsidRPr="009248F1" w:rsidRDefault="00287157" w:rsidP="00287157">
                  <w:pPr>
                    <w:tabs>
                      <w:tab w:val="left" w:pos="413"/>
                    </w:tabs>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debajo del percentil 30 de los precios promedio mensuales de los últimos 120 meses, sin incluir</w:t>
                  </w:r>
                </w:p>
                <w:p w:rsidR="00287157" w:rsidRPr="009248F1" w:rsidRDefault="00287157" w:rsidP="00287157">
                  <w:pPr>
                    <w:jc w:val="both"/>
                    <w:rPr>
                      <w:rFonts w:ascii="Cambria" w:hAnsi="Cambria"/>
                      <w:sz w:val="20"/>
                      <w:szCs w:val="20"/>
                    </w:rPr>
                  </w:pPr>
                  <w:r w:rsidRPr="009248F1">
                    <w:rPr>
                      <w:rFonts w:ascii="Cambria" w:hAnsi="Cambria"/>
                      <w:sz w:val="20"/>
                      <w:szCs w:val="20"/>
                    </w:rPr>
                    <w:t>el precio de los 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Cinco (</w:t>
                  </w:r>
                  <w:r w:rsidRPr="009248F1">
                    <w:rPr>
                      <w:rFonts w:ascii="Cambria" w:hAnsi="Cambria"/>
                      <w:sz w:val="20"/>
                      <w:szCs w:val="20"/>
                    </w:rPr>
                    <w:t>5</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Default="00287157" w:rsidP="00287157">
                  <w:pPr>
                    <w:rPr>
                      <w:rFonts w:ascii="Cambria" w:hAnsi="Cambria"/>
                      <w:sz w:val="20"/>
                      <w:szCs w:val="20"/>
                    </w:rPr>
                  </w:pPr>
                  <w:r>
                    <w:rPr>
                      <w:rFonts w:ascii="Cambria" w:hAnsi="Cambria"/>
                      <w:sz w:val="20"/>
                      <w:szCs w:val="20"/>
                    </w:rPr>
                    <w:t>Cinco por ciento</w:t>
                  </w:r>
                </w:p>
                <w:p w:rsidR="00287157" w:rsidRPr="009248F1" w:rsidRDefault="00287157" w:rsidP="00287157">
                  <w:pPr>
                    <w:rPr>
                      <w:rFonts w:ascii="Cambria" w:hAnsi="Cambria"/>
                      <w:sz w:val="20"/>
                      <w:szCs w:val="20"/>
                    </w:rPr>
                  </w:pPr>
                  <w:r w:rsidRPr="009248F1">
                    <w:rPr>
                      <w:rFonts w:ascii="Cambria" w:hAnsi="Cambria"/>
                      <w:sz w:val="20"/>
                      <w:szCs w:val="20"/>
                    </w:rPr>
                    <w:t>(5%)</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lastRenderedPageBreak/>
                    <w:t xml:space="preserve">Cuando el precio promedio del respectivo año gravable objeto de declaración se encuentre entre el percentil 30 y 45 de los precios promedio mensuales de los últimos 120 meses, sin incluir el precio de los </w:t>
                  </w:r>
                  <w:r w:rsidRPr="009248F1">
                    <w:rPr>
                      <w:rFonts w:ascii="Cambria" w:hAnsi="Cambria"/>
                      <w:sz w:val="20"/>
                      <w:szCs w:val="20"/>
                    </w:rPr>
                    <w:lastRenderedPageBreak/>
                    <w:t>meses transcurridos en el 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lastRenderedPageBreak/>
                    <w:t>Diez (</w:t>
                  </w:r>
                  <w:r w:rsidRPr="009248F1">
                    <w:rPr>
                      <w:rFonts w:ascii="Cambria" w:hAnsi="Cambria"/>
                      <w:sz w:val="20"/>
                      <w:szCs w:val="20"/>
                    </w:rPr>
                    <w:t>10</w:t>
                  </w:r>
                  <w:r>
                    <w:rPr>
                      <w:rFonts w:ascii="Cambria" w:hAnsi="Cambria"/>
                      <w:sz w:val="20"/>
                      <w:szCs w:val="20"/>
                    </w:rPr>
                    <w:t>)</w:t>
                  </w:r>
                  <w:r w:rsidRPr="009248F1">
                    <w:rPr>
                      <w:rFonts w:ascii="Cambria" w:hAnsi="Cambria"/>
                      <w:sz w:val="20"/>
                      <w:szCs w:val="20"/>
                    </w:rPr>
                    <w:t xml:space="preserve">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Diez por ciento </w:t>
                  </w:r>
                  <w:r w:rsidRPr="009248F1">
                    <w:rPr>
                      <w:rFonts w:ascii="Cambria" w:hAnsi="Cambria"/>
                      <w:sz w:val="20"/>
                      <w:szCs w:val="20"/>
                    </w:rPr>
                    <w:t>(10%)</w:t>
                  </w:r>
                </w:p>
                <w:p w:rsidR="00287157" w:rsidRPr="009248F1" w:rsidRDefault="00287157" w:rsidP="00287157">
                  <w:pPr>
                    <w:jc w:val="both"/>
                    <w:rPr>
                      <w:rFonts w:ascii="Cambria" w:hAnsi="Cambria"/>
                      <w:sz w:val="20"/>
                      <w:szCs w:val="20"/>
                    </w:rPr>
                  </w:pP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encima del percentil 45 y entre el percentil 60 de los precios promedio mensuales de los últimos 120 meses, sin incluir el precio de los meses transcurridos en el</w:t>
                  </w:r>
                </w:p>
                <w:p w:rsidR="00287157" w:rsidRPr="009248F1" w:rsidRDefault="00287157" w:rsidP="00287157">
                  <w:pPr>
                    <w:jc w:val="both"/>
                    <w:rPr>
                      <w:rFonts w:ascii="Cambria" w:hAnsi="Cambria"/>
                      <w:sz w:val="20"/>
                      <w:szCs w:val="20"/>
                    </w:rPr>
                  </w:pPr>
                  <w:r w:rsidRPr="009248F1">
                    <w:rPr>
                      <w:rFonts w:ascii="Cambria" w:hAnsi="Cambria"/>
                      <w:sz w:val="20"/>
                      <w:szCs w:val="20"/>
                    </w:rPr>
                    <w:t>año de la declaración.</w:t>
                  </w:r>
                </w:p>
                <w:p w:rsidR="00287157" w:rsidRPr="009248F1" w:rsidRDefault="00287157" w:rsidP="00287157">
                  <w:pPr>
                    <w:jc w:val="both"/>
                    <w:rPr>
                      <w:rFonts w:ascii="Cambria" w:hAnsi="Cambria"/>
                      <w:sz w:val="20"/>
                      <w:szCs w:val="20"/>
                    </w:rPr>
                  </w:pPr>
                </w:p>
              </w:tc>
            </w:tr>
            <w:tr w:rsidR="00287157" w:rsidRPr="009248F1" w:rsidTr="00C83CB4">
              <w:tc>
                <w:tcPr>
                  <w:tcW w:w="1117" w:type="dxa"/>
                </w:tcPr>
                <w:p w:rsidR="00287157" w:rsidRPr="009248F1" w:rsidRDefault="00287157" w:rsidP="00287157">
                  <w:pPr>
                    <w:rPr>
                      <w:rFonts w:ascii="Cambria" w:hAnsi="Cambria"/>
                      <w:sz w:val="20"/>
                      <w:szCs w:val="20"/>
                    </w:rPr>
                  </w:pPr>
                  <w:r>
                    <w:rPr>
                      <w:rFonts w:ascii="Cambria" w:hAnsi="Cambria"/>
                      <w:sz w:val="20"/>
                      <w:szCs w:val="20"/>
                    </w:rPr>
                    <w:t xml:space="preserve">Quince </w:t>
                  </w:r>
                  <w:r w:rsidRPr="009248F1">
                    <w:rPr>
                      <w:rFonts w:ascii="Cambria" w:hAnsi="Cambria"/>
                      <w:sz w:val="20"/>
                      <w:szCs w:val="20"/>
                    </w:rPr>
                    <w:t>15 puntos</w:t>
                  </w:r>
                </w:p>
                <w:p w:rsidR="00287157" w:rsidRPr="009248F1" w:rsidRDefault="00287157" w:rsidP="00287157">
                  <w:pPr>
                    <w:rPr>
                      <w:rFonts w:ascii="Cambria" w:hAnsi="Cambria"/>
                      <w:sz w:val="20"/>
                      <w:szCs w:val="20"/>
                    </w:rPr>
                  </w:pPr>
                  <w:r w:rsidRPr="009248F1">
                    <w:rPr>
                      <w:rFonts w:ascii="Cambria" w:hAnsi="Cambria"/>
                      <w:sz w:val="20"/>
                      <w:szCs w:val="20"/>
                    </w:rPr>
                    <w:t>adicionales</w:t>
                  </w:r>
                </w:p>
                <w:p w:rsidR="00287157" w:rsidRPr="009248F1" w:rsidRDefault="00287157" w:rsidP="00287157">
                  <w:pPr>
                    <w:rPr>
                      <w:rFonts w:ascii="Cambria" w:hAnsi="Cambria"/>
                      <w:sz w:val="20"/>
                      <w:szCs w:val="20"/>
                    </w:rPr>
                  </w:pPr>
                  <w:r>
                    <w:rPr>
                      <w:rFonts w:ascii="Cambria" w:hAnsi="Cambria"/>
                      <w:sz w:val="20"/>
                      <w:szCs w:val="20"/>
                    </w:rPr>
                    <w:t xml:space="preserve">Quince por ciento </w:t>
                  </w:r>
                  <w:r w:rsidRPr="009248F1">
                    <w:rPr>
                      <w:rFonts w:ascii="Cambria" w:hAnsi="Cambria"/>
                      <w:sz w:val="20"/>
                      <w:szCs w:val="20"/>
                    </w:rPr>
                    <w:t>(15%)</w:t>
                  </w:r>
                </w:p>
              </w:tc>
              <w:tc>
                <w:tcPr>
                  <w:tcW w:w="3441" w:type="dxa"/>
                </w:tcPr>
                <w:p w:rsidR="00287157" w:rsidRPr="009248F1" w:rsidRDefault="00287157" w:rsidP="00287157">
                  <w:pPr>
                    <w:jc w:val="both"/>
                    <w:rPr>
                      <w:rFonts w:ascii="Cambria" w:hAnsi="Cambria"/>
                      <w:sz w:val="20"/>
                      <w:szCs w:val="20"/>
                    </w:rPr>
                  </w:pPr>
                  <w:r w:rsidRPr="009248F1">
                    <w:rPr>
                      <w:rFonts w:ascii="Cambria" w:hAnsi="Cambria"/>
                      <w:sz w:val="20"/>
                      <w:szCs w:val="20"/>
                    </w:rPr>
                    <w:t>Cuando el precio promedio del respectivo año gravable objeto de declaración se encuentre por encima del percentil 60 de los precios promedio mensuales de los últimos 120 meses, sin incluir</w:t>
                  </w:r>
                </w:p>
                <w:p w:rsidR="00287157" w:rsidRPr="009248F1" w:rsidRDefault="00287157" w:rsidP="00287157">
                  <w:pPr>
                    <w:jc w:val="both"/>
                    <w:rPr>
                      <w:rFonts w:ascii="Cambria" w:hAnsi="Cambria"/>
                      <w:sz w:val="20"/>
                      <w:szCs w:val="20"/>
                    </w:rPr>
                  </w:pPr>
                  <w:r w:rsidRPr="009248F1">
                    <w:rPr>
                      <w:rFonts w:ascii="Cambria" w:hAnsi="Cambria"/>
                      <w:sz w:val="20"/>
                      <w:szCs w:val="20"/>
                    </w:rPr>
                    <w:t>el precio de los meses transcurridos en el año de la declaración</w:t>
                  </w:r>
                </w:p>
                <w:p w:rsidR="00287157" w:rsidRPr="009248F1" w:rsidRDefault="00287157" w:rsidP="00287157">
                  <w:pPr>
                    <w:jc w:val="both"/>
                    <w:rPr>
                      <w:rFonts w:ascii="Cambria" w:hAnsi="Cambria"/>
                      <w:sz w:val="20"/>
                      <w:szCs w:val="20"/>
                    </w:rPr>
                  </w:pPr>
                </w:p>
              </w:tc>
            </w:tr>
          </w:tbl>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Los precios promedio de la tabla anterior para la actividad económica extracción de petróleo crudo CIIU – 0610 corresponderán al precio promedio internacional del petróleo crudo de referencia Brent USD/Barril, deflactado con el Índice de Precios al Consumidor para todos los consumidores urbanos de los Estados Unidos de América, publicado por la Oficina de Estadísticas Laborales de ese país.</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Para la aplicación de los puntos adicionales, la Unidad de Planeación Minero Energética, en el caso de las actividades de extracción de hulla (carbón de piedra) CIIU – 0510 y extracción de carbón lignito CIIU – 0520, y la Agencia Nacional de Hidrocarburos, para el caso de la actividad económica de extracción de petróleo crudo CIIU – 0610, publicarán a </w:t>
            </w:r>
            <w:proofErr w:type="spellStart"/>
            <w:r w:rsidRPr="009248F1">
              <w:rPr>
                <w:rFonts w:ascii="Cambria" w:hAnsi="Cambria"/>
                <w:sz w:val="20"/>
                <w:szCs w:val="20"/>
              </w:rPr>
              <w:t>mas</w:t>
            </w:r>
            <w:proofErr w:type="spellEnd"/>
            <w:r w:rsidRPr="009248F1">
              <w:rPr>
                <w:rFonts w:ascii="Cambria" w:hAnsi="Cambria"/>
                <w:sz w:val="20"/>
                <w:szCs w:val="20"/>
              </w:rPr>
              <w:t xml:space="preserve"> tardar, el último día hábil de enero de cada año, mediante resolución, la información correspondiente a los precios promedio del año gravable inmediatamente anterior, así como la tabla de percentiles de precios promedio mensuales, incluyendo por lo menos:</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El precio promedio del petróleo crudo que se encuentre en el percentil 30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2. El precio promedio del carbón y petróleo crudo que se encuentre en el percentil 45 de los precios promedio mensuales de los últimos 120 meses, sin incluir el </w:t>
            </w:r>
            <w:r w:rsidRPr="009248F1">
              <w:rPr>
                <w:rFonts w:ascii="Cambria" w:hAnsi="Cambria"/>
                <w:sz w:val="20"/>
                <w:szCs w:val="20"/>
              </w:rPr>
              <w:lastRenderedPageBreak/>
              <w:t>precio de los meses transcurridos en el año de la declaración.</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3. El precio promedio del carbón y petróleo crudo que se encuentre en el percentil 60 de los precios promedio mensuales de los últimos 120 meses, sin incluir el precio de los meses transcurridos en el año de la declaración.</w:t>
            </w:r>
          </w:p>
          <w:p w:rsidR="00287157" w:rsidRPr="009248F1" w:rsidRDefault="00287157" w:rsidP="00287157">
            <w:pPr>
              <w:jc w:val="both"/>
              <w:rPr>
                <w:rFonts w:ascii="Cambria" w:hAnsi="Cambria"/>
                <w:color w:val="000000"/>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Default="00287157" w:rsidP="00287157">
            <w:pPr>
              <w:jc w:val="both"/>
              <w:rPr>
                <w:rFonts w:ascii="Cambria" w:hAnsi="Cambria"/>
                <w:color w:val="000000" w:themeColor="text1"/>
                <w:sz w:val="20"/>
                <w:szCs w:val="20"/>
              </w:rPr>
            </w:pP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Estos puntos adicionales sobre la tarifa del impuesto sobre la renta solo son aplicables a los contribuyentes de que trata este parágrafo que, en el año gravable correspondiente, tengan una renta gravable igual o superior a 50.000 UVT. El umbral anterior se calculará de manera agregada para las actividades realizadas por personas vinculadas según los criterios de vinculación previstos en el artículo 260-1 de este Estatuto.</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sz w:val="20"/>
                <w:szCs w:val="20"/>
              </w:rPr>
              <w:t>Cuando un mismo contribuyente tenga ingresos por las diferentes actividades económicas sujetas a lo aquí previsto, los puntos adicionales serán determinados por la actividad que mayores ingresos fiscales genera para el contribuyente.</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color w:val="000000" w:themeColor="text1"/>
                <w:sz w:val="20"/>
                <w:szCs w:val="20"/>
              </w:rPr>
            </w:pPr>
            <w:r w:rsidRPr="009248F1">
              <w:rPr>
                <w:rFonts w:ascii="Cambria" w:hAnsi="Cambria"/>
                <w:color w:val="000000" w:themeColor="text1"/>
                <w:sz w:val="20"/>
                <w:szCs w:val="20"/>
              </w:rPr>
              <w:t>Cuando los contribuyentes obtengan ingresos por concepto de venta de gas natural, los puntos adicionales que se deberán adicionar a la tarifa general del impuesto sobre la renta se determinarán al multiplicar los puntos adicionales determinados de acuerdo a lo establecido en los incisos anteriores de este parágrafo, por la proporción que dé como resultado la división de la totalidad de los ingresos brutos diferentes a la venta de gas natural entre los ingresos brutos totales.</w:t>
            </w:r>
          </w:p>
          <w:p w:rsidR="00287157" w:rsidRPr="009248F1" w:rsidRDefault="00287157" w:rsidP="00287157">
            <w:pPr>
              <w:jc w:val="both"/>
              <w:rPr>
                <w:rFonts w:ascii="Cambria" w:hAnsi="Cambria" w:cstheme="minorHAnsi"/>
                <w:b/>
                <w:color w:val="000000" w:themeColor="text1"/>
                <w:sz w:val="20"/>
                <w:szCs w:val="20"/>
                <w:lang w:eastAsia="es-CO"/>
              </w:rPr>
            </w:pPr>
          </w:p>
          <w:p w:rsidR="00287157" w:rsidRPr="009248F1" w:rsidRDefault="00287157" w:rsidP="00287157">
            <w:pPr>
              <w:jc w:val="both"/>
              <w:rPr>
                <w:rFonts w:ascii="Cambria" w:hAnsi="Cambria"/>
                <w:sz w:val="20"/>
                <w:szCs w:val="20"/>
              </w:rPr>
            </w:pPr>
            <w:r w:rsidRPr="009248F1">
              <w:rPr>
                <w:rFonts w:ascii="Cambria" w:hAnsi="Cambria"/>
                <w:b/>
                <w:bCs/>
                <w:sz w:val="20"/>
                <w:szCs w:val="20"/>
              </w:rPr>
              <w:t xml:space="preserve">PARÁGRAFO 4. </w:t>
            </w:r>
            <w:r w:rsidRPr="009248F1">
              <w:rPr>
                <w:rFonts w:ascii="Cambria" w:hAnsi="Cambria"/>
                <w:sz w:val="20"/>
                <w:szCs w:val="20"/>
              </w:rPr>
              <w:t>Los contribuyentes cuya actividad económica principal sea la generación de energía eléctrica a través de recursos hídricos deberán liquidar tres (3) puntos adicionales al impuesto sobre la renta y complementarios durante los periodos gravables 2023, 2024, 2025 y 2026, siendo en total la tarifa del treinta y ocho por ciento (38%).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Los puntos adicionales de los que trata el presente parágrafo solo son aplicables a las personas jurídicas que, en el año gravable correspondiente, tengan una renta gravable igual o superior a 30.000 UVT. El umbral anterior se calculará de manera agregada para las actividades realizadas por personas vinculadas según los criterios de vinculación previstos en el artículo 260-1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de que trata este parágrafo está sujeta a un anticipo del ciento por ciento (100%) del valor de la misma, calculado sobre la base gravable del impuesto sobre la renta y complementarios sobre la cual el contribuyente liquidó el mencionado impuesto para el año gravable inmediatamente anterior. El anticipo de la sobretasa del impuesto sobre la renta y complementarios deberá pagarse en dos cuotas iguales anuales en los plazos que fije el reglamento.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Lo dispuesto en el presente parágrafo no se aplicable a las Pequeñas Centrales Hidroeléctricas cuya capacidad instalada sea igual o menor a mil Kilovatios (1.000 </w:t>
            </w:r>
            <w:proofErr w:type="spellStart"/>
            <w:r w:rsidRPr="009248F1">
              <w:rPr>
                <w:rFonts w:ascii="Cambria" w:hAnsi="Cambria"/>
                <w:sz w:val="20"/>
                <w:szCs w:val="20"/>
              </w:rPr>
              <w:t>Kw</w:t>
            </w:r>
            <w:proofErr w:type="spellEnd"/>
            <w:r w:rsidRPr="009248F1">
              <w:rPr>
                <w:rFonts w:ascii="Cambria" w:hAnsi="Cambria"/>
                <w:sz w:val="20"/>
                <w:szCs w:val="20"/>
              </w:rPr>
              <w:t>).</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La sobretasa establecida en el presente parágrafo no podrá ser trasladada al usuario final. Lo anterior considerando el régimen de competencia definido para cada etapa de la cadena de valor de la prestación del servicio de energía eléctrica. La Comisión de Regulación de Energía y Gas -CREG regulará la materia y la Superintendencia de Servicios Públicos Domiciliarios realizarán la inspección y vigilancia de acuerdo con sus competencias</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bCs/>
                <w:sz w:val="20"/>
                <w:szCs w:val="20"/>
              </w:rPr>
              <w:t xml:space="preserve">PARÁGRAFO 5. </w:t>
            </w:r>
            <w:r w:rsidRPr="009248F1">
              <w:rPr>
                <w:rFonts w:ascii="Cambria" w:hAnsi="Cambria"/>
                <w:sz w:val="20"/>
                <w:szCs w:val="20"/>
              </w:rPr>
              <w:t>Las sociedades nacionales y sus asimiladas, los establecimientos permanentes de entidades del exterior y las personas jurídicas extranjeras con o sin residencia en el país tendrán una tarifa del quince por ciento (15%) sobre los ingresos percibidos en la prestación de servicios hoteleros, de parques temáticos de ecoturismo y/o de agroturismo, por un término de diez (10) años, contados a partir del inicio de la prestación del respectivo servicio que se efectúe en: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Los nuevos proyectos de hoteles, de parques temáticos de ecoturismo y/o de agroturismo que se construyan, 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2. Los hoteles, parques temáticos de ecoturismo y/o de agroturismo que se remodelen y/o amplíen, siempre y cuando el valor de la remodelación y/o ampliación no sea inferior al cincuenta por ciento (50%) del valor de </w:t>
            </w:r>
            <w:r w:rsidRPr="009248F1">
              <w:rPr>
                <w:rFonts w:ascii="Cambria" w:hAnsi="Cambria"/>
                <w:sz w:val="20"/>
                <w:szCs w:val="20"/>
              </w:rPr>
              <w:lastRenderedPageBreak/>
              <w:t>la adquisición del inmueble remodelado y/o ampliado, conforme a las reglas de artículo 90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Para efectos de lo dispuesto en el presente parágrafo, se deberán cumplir los siguientes requisitos: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1. Que se realice la construcción, ampliación y/o remodelación en: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1.1. Municipios de hasta doscientos mil (200.000) habitantes, tal y como lo certifique el Departamento Administrativo Nacional de Estadística -DANE a 31 de diciembre de 2022, y/o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1.2. Municipios listados en los programas de desarrollo con enfoque territorial - PDET.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Que en el caso del nuevo proyecto hotelero, de parque temático de ecoturismo y/o de agroturismo cuente con la licencia de construcción expedida por la autoridad competente en la cual conste la aprobación respectiva de la nueva construcción.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3. Que en el caso de la ampliación y/o remodelación del hotel, del parque temático de ecoturismo y/o de agroturismo cuente con la aprobación previa del proyecto por parte de la Curaduría Urbana o en su defecto de la Alcaldía Municipal del domicilio del inmueble remodelado y/o ampliado.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4. Que el hotel, el parque temático de ecoturismo y/o agroturismo cuente con la habilitación del registro nacional de turismo, al momento de inicio de los servicios objeto del beneficio tributario.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5. Que la construcción, ampliación y/o remodelación se realice en su totalidad dentro de los cinco (5) años siguientes a partir de la entrada en vigencia de la presente ley y se inicie la prestación del servicio de ecoturismo y/o agroturismo, en este periodo.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El Ministerio de Comercio, Industria y Turismo autorizará y aprobará la procedencia de este beneficio a las sociedades nacionales y sus asimiladas, los establecimientos permanentes de entidades del exterior y las personas jurídicas extranjeras con o sin residencia en el país, sobre los nuevos proyectos de construcción, remodelación y/o ampliación de hoteles, parques temáticos de ecoturismo y/o agroturismo y que cumplan con los requisitos y condiciones establecidos en este parágrafo y su reglamentación.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 xml:space="preserve">La tarifa del impuesto sobre la renta del quince por ciento (15%) de que trata el presente parágrafo podrá </w:t>
            </w:r>
            <w:r w:rsidRPr="009248F1">
              <w:rPr>
                <w:rFonts w:ascii="Cambria" w:hAnsi="Cambria"/>
                <w:sz w:val="20"/>
                <w:szCs w:val="20"/>
              </w:rPr>
              <w:lastRenderedPageBreak/>
              <w:t>ser aplicada por los operadores de los hoteles, parques temáticos de ecoturismo y/o de agroturismo, siempre y cuando los nuevos proyectos de construcción, remodelación y/o ampliación se haya entregado para el desarrollo de la operación y la renta provenga directamente de la prestación de dichos servicios sin que exista rendimiento garantizado.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Lo previsto en el presente parágrafo no será aplicable a moteles y residencias. </w:t>
            </w:r>
          </w:p>
          <w:p w:rsidR="00287157" w:rsidRPr="009248F1" w:rsidRDefault="00287157" w:rsidP="00287157">
            <w:pPr>
              <w:jc w:val="both"/>
              <w:rPr>
                <w:rFonts w:ascii="Cambria" w:hAnsi="Cambria"/>
                <w:b/>
                <w:bCs/>
                <w:sz w:val="20"/>
                <w:szCs w:val="20"/>
              </w:rPr>
            </w:pPr>
          </w:p>
          <w:p w:rsidR="00287157" w:rsidRPr="009248F1" w:rsidRDefault="00287157" w:rsidP="00287157">
            <w:pPr>
              <w:jc w:val="both"/>
              <w:rPr>
                <w:rFonts w:ascii="Cambria" w:hAnsi="Cambria"/>
                <w:sz w:val="20"/>
                <w:szCs w:val="20"/>
              </w:rPr>
            </w:pPr>
            <w:r w:rsidRPr="009248F1">
              <w:rPr>
                <w:rFonts w:ascii="Cambria" w:hAnsi="Cambria"/>
                <w:b/>
                <w:sz w:val="20"/>
                <w:szCs w:val="20"/>
              </w:rPr>
              <w:t>PARÁGRAFO 6.</w:t>
            </w:r>
            <w:r w:rsidRPr="009248F1">
              <w:rPr>
                <w:rFonts w:ascii="Cambria" w:hAnsi="Cambria"/>
                <w:sz w:val="20"/>
                <w:szCs w:val="20"/>
              </w:rPr>
              <w:t xml:space="preserve"> El presente parágrafo establece una tasa mínima de tributación para los contribuyentes del impuesto sobre la renta de que trata este artículo y el artículo 240-1 del Estatuto Tributario, salvo las personas jurídicas extranjeras sin residencia en el país, que se calculará a partir de la utilidad financiera depurada. Esta tasa mínima se denominará Tasa de Tributación Depurada (TTD) la cual no podrá ser inferior al 15% y será el resultado de dividir el Impuesto Depurado (ID) sobre la Utilidad Depurada (UD), así:</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𝑇𝑇𝐷</w:t>
            </w:r>
            <w:r w:rsidRPr="009248F1">
              <w:rPr>
                <w:rFonts w:ascii="Cambria" w:hAnsi="Cambria"/>
                <w:sz w:val="20"/>
                <w:szCs w:val="20"/>
              </w:rPr>
              <w:t xml:space="preserve"> = </w:t>
            </w:r>
            <w:r w:rsidRPr="009248F1">
              <w:rPr>
                <w:rFonts w:ascii="Cambria Math" w:eastAsia="Cambria Math" w:hAnsi="Cambria Math" w:cs="Cambria Math"/>
                <w:sz w:val="20"/>
                <w:szCs w:val="20"/>
              </w:rPr>
              <w:t>𝐼𝐷 / 𝑈𝐷</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Por su parte, el Impuesto Depurado (ID) y la Utilidad Depurada (UD) se calculará así:</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𝐼𝐷</w:t>
            </w:r>
            <w:r w:rsidRPr="009248F1">
              <w:rPr>
                <w:rFonts w:ascii="Cambria" w:hAnsi="Cambria"/>
                <w:sz w:val="20"/>
                <w:szCs w:val="20"/>
              </w:rPr>
              <w:t xml:space="preserve"> = </w:t>
            </w:r>
            <w:r w:rsidRPr="009248F1">
              <w:rPr>
                <w:rFonts w:ascii="Cambria Math" w:eastAsia="Cambria Math" w:hAnsi="Cambria Math" w:cs="Cambria Math"/>
                <w:sz w:val="20"/>
                <w:szCs w:val="20"/>
              </w:rPr>
              <w:t>𝐼𝑁𝑅</w:t>
            </w:r>
            <w:r w:rsidRPr="009248F1">
              <w:rPr>
                <w:rFonts w:ascii="Cambria" w:hAnsi="Cambria"/>
                <w:sz w:val="20"/>
                <w:szCs w:val="20"/>
              </w:rPr>
              <w:t xml:space="preserve"> + </w:t>
            </w:r>
            <w:r w:rsidRPr="009248F1">
              <w:rPr>
                <w:rFonts w:ascii="Cambria Math" w:eastAsia="Cambria Math" w:hAnsi="Cambria Math" w:cs="Cambria Math"/>
                <w:sz w:val="20"/>
                <w:szCs w:val="20"/>
              </w:rPr>
              <w:t>𝐷𝑇𝐶</w:t>
            </w:r>
            <w:r w:rsidRPr="009248F1">
              <w:rPr>
                <w:rFonts w:ascii="Cambria" w:hAnsi="Cambria"/>
                <w:sz w:val="20"/>
                <w:szCs w:val="20"/>
              </w:rPr>
              <w:t xml:space="preserve"> − </w:t>
            </w:r>
            <w:r w:rsidRPr="009248F1">
              <w:rPr>
                <w:rFonts w:ascii="Cambria Math" w:eastAsia="Cambria Math" w:hAnsi="Cambria Math" w:cs="Cambria Math"/>
                <w:sz w:val="20"/>
                <w:szCs w:val="20"/>
              </w:rPr>
              <w:t>𝐼𝑅𝑃</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ID: Impuesto Depurado.</w:t>
            </w:r>
          </w:p>
          <w:p w:rsidR="00287157" w:rsidRPr="009248F1" w:rsidRDefault="00287157" w:rsidP="00287157">
            <w:pPr>
              <w:jc w:val="both"/>
              <w:rPr>
                <w:rFonts w:ascii="Cambria" w:hAnsi="Cambria"/>
                <w:sz w:val="20"/>
                <w:szCs w:val="20"/>
              </w:rPr>
            </w:pPr>
            <w:r w:rsidRPr="009248F1">
              <w:rPr>
                <w:rFonts w:ascii="Cambria" w:hAnsi="Cambria"/>
                <w:sz w:val="20"/>
                <w:szCs w:val="20"/>
              </w:rPr>
              <w:t>INR: Impuesto neto de renta.</w:t>
            </w:r>
          </w:p>
          <w:p w:rsidR="00287157" w:rsidRPr="009248F1" w:rsidRDefault="00287157" w:rsidP="00287157">
            <w:pPr>
              <w:jc w:val="both"/>
              <w:rPr>
                <w:rFonts w:ascii="Cambria" w:hAnsi="Cambria"/>
                <w:sz w:val="20"/>
                <w:szCs w:val="20"/>
              </w:rPr>
            </w:pPr>
            <w:r w:rsidRPr="009248F1">
              <w:rPr>
                <w:rFonts w:ascii="Cambria" w:hAnsi="Cambria"/>
                <w:sz w:val="20"/>
                <w:szCs w:val="20"/>
              </w:rPr>
              <w:t>DTC: Descuentos tributarios o créditos tributarios por aplicación de tratados para evitar la doble imposición y el establecido en el artículo 254 del Estatuto Tributario.</w:t>
            </w:r>
          </w:p>
          <w:p w:rsidR="00287157" w:rsidRPr="009248F1" w:rsidRDefault="00287157" w:rsidP="00287157">
            <w:pPr>
              <w:jc w:val="both"/>
              <w:rPr>
                <w:rFonts w:ascii="Cambria" w:hAnsi="Cambria"/>
                <w:sz w:val="20"/>
                <w:szCs w:val="20"/>
              </w:rPr>
            </w:pPr>
            <w:r w:rsidRPr="009248F1">
              <w:rPr>
                <w:rFonts w:ascii="Cambria" w:hAnsi="Cambria"/>
                <w:sz w:val="20"/>
                <w:szCs w:val="20"/>
              </w:rPr>
              <w:t>IRP: Impuesto sobre la renta por rentas pasivas provenientes de entidades controladas del exterior. Se calculará multiplicando la renta líquida pasiva por la tarifa general del artículo 240 del Estatuto Tributario (renta líquida pasiva x tarifa general).</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𝑈𝐷</w:t>
            </w:r>
            <w:r w:rsidRPr="009248F1">
              <w:rPr>
                <w:rFonts w:ascii="Cambria" w:hAnsi="Cambria"/>
                <w:sz w:val="20"/>
                <w:szCs w:val="20"/>
              </w:rPr>
              <w:t xml:space="preserve"> = </w:t>
            </w:r>
            <w:r w:rsidRPr="009248F1">
              <w:rPr>
                <w:rFonts w:ascii="Cambria Math" w:eastAsia="Cambria Math" w:hAnsi="Cambria Math" w:cs="Cambria Math"/>
                <w:sz w:val="20"/>
                <w:szCs w:val="20"/>
              </w:rPr>
              <w:t>𝑈𝐶</w:t>
            </w:r>
            <w:r w:rsidRPr="009248F1">
              <w:rPr>
                <w:rFonts w:ascii="Cambria" w:hAnsi="Cambria"/>
                <w:sz w:val="20"/>
                <w:szCs w:val="20"/>
              </w:rPr>
              <w:t xml:space="preserve"> + </w:t>
            </w:r>
            <w:r w:rsidRPr="009248F1">
              <w:rPr>
                <w:rFonts w:ascii="Cambria Math" w:eastAsia="Cambria Math" w:hAnsi="Cambria Math" w:cs="Cambria Math"/>
                <w:sz w:val="20"/>
                <w:szCs w:val="20"/>
              </w:rPr>
              <w:t>𝐷𝑃𝐴𝑅𝐿</w:t>
            </w:r>
            <w:r w:rsidRPr="009248F1">
              <w:rPr>
                <w:rFonts w:ascii="Cambria" w:hAnsi="Cambria"/>
                <w:sz w:val="20"/>
                <w:szCs w:val="20"/>
              </w:rPr>
              <w:t xml:space="preserve"> − </w:t>
            </w:r>
            <w:r w:rsidRPr="009248F1">
              <w:rPr>
                <w:rFonts w:ascii="Cambria Math" w:eastAsia="Cambria Math" w:hAnsi="Cambria Math" w:cs="Cambria Math"/>
                <w:sz w:val="20"/>
                <w:szCs w:val="20"/>
              </w:rPr>
              <w:t>𝐼𝑁𝐶𝑅𝑁𝐺𝑂</w:t>
            </w:r>
            <w:r w:rsidRPr="009248F1">
              <w:rPr>
                <w:rFonts w:ascii="Cambria" w:hAnsi="Cambria"/>
                <w:sz w:val="20"/>
                <w:szCs w:val="20"/>
              </w:rPr>
              <w:t xml:space="preserve"> − </w:t>
            </w:r>
            <w:r w:rsidRPr="009248F1">
              <w:rPr>
                <w:rFonts w:ascii="Cambria Math" w:eastAsia="Cambria Math" w:hAnsi="Cambria Math" w:cs="Cambria Math"/>
                <w:sz w:val="20"/>
                <w:szCs w:val="20"/>
              </w:rPr>
              <w:t>𝑉𝐼𝑀𝑃𝑃</w:t>
            </w:r>
            <w:r w:rsidRPr="009248F1">
              <w:rPr>
                <w:rFonts w:ascii="Cambria" w:hAnsi="Cambria"/>
                <w:sz w:val="20"/>
                <w:szCs w:val="20"/>
              </w:rPr>
              <w:t xml:space="preserve"> − </w:t>
            </w:r>
            <w:r w:rsidRPr="009248F1">
              <w:rPr>
                <w:rFonts w:ascii="Cambria Math" w:eastAsia="Cambria Math" w:hAnsi="Cambria Math" w:cs="Cambria Math"/>
                <w:sz w:val="20"/>
                <w:szCs w:val="20"/>
              </w:rPr>
              <w:t>𝑉𝑁𝐺𝑂</w:t>
            </w:r>
            <w:r w:rsidRPr="009248F1">
              <w:rPr>
                <w:rFonts w:ascii="Cambria" w:hAnsi="Cambria"/>
                <w:sz w:val="20"/>
                <w:szCs w:val="20"/>
              </w:rPr>
              <w:t xml:space="preserve"> − </w:t>
            </w:r>
            <w:r w:rsidRPr="009248F1">
              <w:rPr>
                <w:rFonts w:ascii="Cambria Math" w:eastAsia="Cambria Math" w:hAnsi="Cambria Math" w:cs="Cambria Math"/>
                <w:sz w:val="20"/>
                <w:szCs w:val="20"/>
              </w:rPr>
              <w:t>𝑅𝐸</w:t>
            </w:r>
            <w:r w:rsidRPr="009248F1">
              <w:rPr>
                <w:rFonts w:ascii="Cambria" w:hAnsi="Cambria"/>
                <w:sz w:val="20"/>
                <w:szCs w:val="20"/>
              </w:rPr>
              <w:t xml:space="preserve"> − </w:t>
            </w:r>
            <w:r w:rsidRPr="009248F1">
              <w:rPr>
                <w:rFonts w:ascii="Cambria Math" w:eastAsia="Cambria Math" w:hAnsi="Cambria Math" w:cs="Cambria Math"/>
                <w:sz w:val="20"/>
                <w:szCs w:val="20"/>
              </w:rPr>
              <w:t>𝐶</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UD: Utilidad Depurada.</w:t>
            </w:r>
          </w:p>
          <w:p w:rsidR="00287157" w:rsidRPr="009248F1" w:rsidRDefault="00287157" w:rsidP="00287157">
            <w:pPr>
              <w:jc w:val="both"/>
              <w:rPr>
                <w:rFonts w:ascii="Cambria" w:hAnsi="Cambria"/>
                <w:sz w:val="20"/>
                <w:szCs w:val="20"/>
              </w:rPr>
            </w:pPr>
            <w:r w:rsidRPr="009248F1">
              <w:rPr>
                <w:rFonts w:ascii="Cambria" w:hAnsi="Cambria"/>
                <w:sz w:val="20"/>
                <w:szCs w:val="20"/>
              </w:rPr>
              <w:t>UC: Utilidad contable o financiera antes de impuestos.</w:t>
            </w:r>
          </w:p>
          <w:p w:rsidR="00287157" w:rsidRPr="009248F1" w:rsidRDefault="00287157" w:rsidP="00287157">
            <w:pPr>
              <w:jc w:val="both"/>
              <w:rPr>
                <w:rFonts w:ascii="Cambria" w:hAnsi="Cambria"/>
                <w:sz w:val="20"/>
                <w:szCs w:val="20"/>
              </w:rPr>
            </w:pPr>
            <w:r w:rsidRPr="009248F1">
              <w:rPr>
                <w:rFonts w:ascii="Cambria" w:hAnsi="Cambria"/>
                <w:sz w:val="20"/>
                <w:szCs w:val="20"/>
              </w:rPr>
              <w:t>DPARL: Diferencias permanentes consagradas en la ley y que aumentan la renta líquida.</w:t>
            </w:r>
          </w:p>
          <w:p w:rsidR="00287157" w:rsidRPr="009248F1" w:rsidRDefault="00287157" w:rsidP="00287157">
            <w:pPr>
              <w:jc w:val="both"/>
              <w:rPr>
                <w:rFonts w:ascii="Cambria" w:hAnsi="Cambria"/>
                <w:sz w:val="20"/>
                <w:szCs w:val="20"/>
              </w:rPr>
            </w:pPr>
            <w:r w:rsidRPr="009248F1">
              <w:rPr>
                <w:rFonts w:ascii="Cambria" w:hAnsi="Cambria"/>
                <w:sz w:val="20"/>
                <w:szCs w:val="20"/>
              </w:rPr>
              <w:t>INCRNGO: Ingresos no constitutivos de renta ni ganancia ocasional, que afectan la utilidad contable o financiera.</w:t>
            </w:r>
          </w:p>
          <w:p w:rsidR="00287157" w:rsidRPr="009248F1" w:rsidRDefault="00287157" w:rsidP="00287157">
            <w:pPr>
              <w:jc w:val="both"/>
              <w:rPr>
                <w:rFonts w:ascii="Cambria" w:hAnsi="Cambria"/>
                <w:sz w:val="20"/>
                <w:szCs w:val="20"/>
              </w:rPr>
            </w:pPr>
            <w:r w:rsidRPr="009248F1">
              <w:rPr>
                <w:rFonts w:ascii="Cambria" w:hAnsi="Cambria"/>
                <w:sz w:val="20"/>
                <w:szCs w:val="20"/>
              </w:rPr>
              <w:lastRenderedPageBreak/>
              <w:t>VIMPP: Valor ingreso método de participación patrimonial del respectivo año gravable.</w:t>
            </w:r>
          </w:p>
          <w:p w:rsidR="00287157" w:rsidRPr="009248F1" w:rsidRDefault="00287157" w:rsidP="00287157">
            <w:pPr>
              <w:jc w:val="both"/>
              <w:rPr>
                <w:rFonts w:ascii="Cambria" w:hAnsi="Cambria"/>
                <w:sz w:val="20"/>
                <w:szCs w:val="20"/>
              </w:rPr>
            </w:pPr>
            <w:r w:rsidRPr="009248F1">
              <w:rPr>
                <w:rFonts w:ascii="Cambria" w:hAnsi="Cambria"/>
                <w:sz w:val="20"/>
                <w:szCs w:val="20"/>
              </w:rPr>
              <w:t>VNGO: Valor neto de ingresos por ganancia ocasional que afectan la utilidad contable o financiera.</w:t>
            </w:r>
          </w:p>
          <w:p w:rsidR="00287157" w:rsidRPr="009248F1" w:rsidRDefault="00287157" w:rsidP="00287157">
            <w:pPr>
              <w:jc w:val="both"/>
              <w:rPr>
                <w:rFonts w:ascii="Cambria" w:hAnsi="Cambria"/>
                <w:sz w:val="20"/>
                <w:szCs w:val="20"/>
              </w:rPr>
            </w:pPr>
            <w:r w:rsidRPr="009248F1">
              <w:rPr>
                <w:rFonts w:ascii="Cambria" w:hAnsi="Cambria"/>
                <w:sz w:val="20"/>
                <w:szCs w:val="20"/>
              </w:rPr>
              <w:t>RE: Rentas exentas por aplicación de tratados para evitar la doble imposición – CAN, las percibidas por el régimen de compañías holding colombianas -CHC y las rentas exentas de que tratan los literales a) y b) del numeral 4 y el numeral 7 del artículo 235-2 del Estatuto Tributario.</w:t>
            </w:r>
          </w:p>
          <w:p w:rsidR="00287157" w:rsidRPr="009248F1" w:rsidRDefault="00287157" w:rsidP="00287157">
            <w:pPr>
              <w:jc w:val="both"/>
              <w:rPr>
                <w:rFonts w:ascii="Cambria" w:hAnsi="Cambria"/>
                <w:sz w:val="20"/>
                <w:szCs w:val="20"/>
              </w:rPr>
            </w:pPr>
            <w:r w:rsidRPr="009248F1">
              <w:rPr>
                <w:rFonts w:ascii="Cambria" w:hAnsi="Cambria"/>
                <w:sz w:val="20"/>
                <w:szCs w:val="20"/>
              </w:rPr>
              <w:t>C: Compensación de pérdidas fiscales o excesos de renta presuntiva tomados en el año gravable y que no afectaron la utilidad contable del periodo.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Cuando la Tasa de Tributación Depurada (TTD) sea inferior al 15%, se deberá determinar el valor del Impuesto a Adicionar (IA) para alcanzar la tasa del 15%,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1. Para los contribuyentes sujetos a este artículo y al artículo 240-1 del Estatuto Tributario, cuyos estados financieros no sean objeto de consolidación, la diferencia positiva entre la Utilidad Depurada (UD) multiplicada por el 15% y el Impuesto Depurado (ID), será un mayor valor del impuesto sobre la renta, que deberá adicionarse al impuesto sobre la renta (IA).</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Math" w:eastAsia="Cambria Math" w:hAnsi="Cambria Math" w:cs="Cambria Math"/>
                <w:sz w:val="20"/>
                <w:szCs w:val="20"/>
              </w:rPr>
              <w:t>𝐼𝐴</w:t>
            </w:r>
            <w:r w:rsidRPr="009248F1">
              <w:rPr>
                <w:rFonts w:ascii="Cambria" w:hAnsi="Cambria"/>
                <w:sz w:val="20"/>
                <w:szCs w:val="20"/>
              </w:rPr>
              <w:t xml:space="preserve"> = (</w:t>
            </w:r>
            <w:r w:rsidRPr="009248F1">
              <w:rPr>
                <w:rFonts w:ascii="Cambria Math" w:eastAsia="Cambria Math" w:hAnsi="Cambria Math" w:cs="Cambria Math"/>
                <w:sz w:val="20"/>
                <w:szCs w:val="20"/>
              </w:rPr>
              <w:t>𝑈𝐷</w:t>
            </w:r>
            <w:r w:rsidRPr="009248F1">
              <w:rPr>
                <w:rFonts w:ascii="Cambria" w:hAnsi="Cambria"/>
                <w:sz w:val="20"/>
                <w:szCs w:val="20"/>
              </w:rPr>
              <w:t xml:space="preserve"> </w:t>
            </w:r>
            <w:r w:rsidRPr="009248F1">
              <w:rPr>
                <w:rFonts w:ascii="Cambria" w:eastAsia="MS Mincho" w:hAnsi="Cambria" w:cs="MS Mincho"/>
                <w:sz w:val="20"/>
                <w:szCs w:val="20"/>
              </w:rPr>
              <w:t>∗</w:t>
            </w:r>
            <w:r w:rsidRPr="009248F1">
              <w:rPr>
                <w:rFonts w:ascii="Cambria" w:hAnsi="Cambria"/>
                <w:sz w:val="20"/>
                <w:szCs w:val="20"/>
              </w:rPr>
              <w:t xml:space="preserve"> 15%) − </w:t>
            </w:r>
            <w:r w:rsidRPr="009248F1">
              <w:rPr>
                <w:rFonts w:ascii="Cambria Math" w:eastAsia="Cambria Math" w:hAnsi="Cambria Math" w:cs="Cambria Math"/>
                <w:sz w:val="20"/>
                <w:szCs w:val="20"/>
              </w:rPr>
              <w:t>𝐼𝐷</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 Los contribuyentes residentes fiscales en Colombia cuyos estados financieros sean objeto de consolidación en Colombia, deberán realizar el siguiente procedimiento: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2.1. Calcular la Tasa de Tributación Depurada del Grupo (TTDG) dividiendo la sumatoria de los Impuestos Depurados (ΣID) de cada contribuyente residente fiscal en Colombia objeto de consolidación por la sumatoria de la Utilidad Depurada (ΣUD) de cada contribuyente residente fiscal en Colombia cuyos estados financieros son objeto de consolidación,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Math" w:eastAsia="Cambria Math" w:hAnsi="Cambria Math" w:cs="Cambria Math"/>
                <w:sz w:val="20"/>
                <w:szCs w:val="20"/>
              </w:rPr>
              <w:t>𝑇𝑇𝐷𝐺</w:t>
            </w:r>
            <w:r w:rsidRPr="009248F1">
              <w:rPr>
                <w:rFonts w:ascii="Cambria" w:hAnsi="Cambria"/>
                <w:sz w:val="20"/>
                <w:szCs w:val="20"/>
              </w:rPr>
              <w:t>TTDG = ΣID / ΣUD</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2.2. Si el resultado es inferior al 15%, se deberá calcular el Impuesto a Adicionar por el Grupo (IAG) a partir de la diferencia entre la sumatoria de la Utilidad Depurada (ΣUD) multiplicada por el 15% menos la sumatoria del Impuesto Depurado (ΣID) de cada contribuyente, cuyos estados financieros se consolidan, así:</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IAG = (ΣUD ∗ 15%) − ΣID</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lastRenderedPageBreak/>
              <w:t>2.3. Para calcular el Impuesto a Adicionar (IA) de cada contribuyente residente fiscal en Colombia, se deberá multiplicar el Impuesto a Adicionar por el Grupo (IAG) por el porcentaje que dé como resultado la división de la Utilidad Depurada de cada contribuyente con utilidad depurada mayor a cero (UDβ) sobre la sumatoria de las Utilidades Depuradas de los contribuyentes con Utilidades Depuradas mayores a cero (ΣUDβ), así:</w:t>
            </w:r>
          </w:p>
          <w:p w:rsidR="00287157" w:rsidRPr="009248F1" w:rsidRDefault="00287157" w:rsidP="00287157">
            <w:pPr>
              <w:jc w:val="both"/>
              <w:rPr>
                <w:rFonts w:ascii="Cambria" w:hAnsi="Cambria"/>
                <w:sz w:val="20"/>
                <w:szCs w:val="20"/>
              </w:rPr>
            </w:pPr>
          </w:p>
          <w:p w:rsidR="00287157" w:rsidRPr="009248F1" w:rsidRDefault="00287157" w:rsidP="00287157">
            <w:pPr>
              <w:pStyle w:val="p1"/>
              <w:ind w:left="0"/>
              <w:rPr>
                <w:rFonts w:ascii="Cambria" w:hAnsi="Cambria"/>
                <w:sz w:val="20"/>
                <w:szCs w:val="20"/>
              </w:rPr>
            </w:pPr>
            <w:r w:rsidRPr="009248F1">
              <w:rPr>
                <w:rFonts w:ascii="Cambria Math" w:eastAsia="Cambria Math" w:hAnsi="Cambria Math" w:cs="Cambria Math"/>
                <w:sz w:val="20"/>
                <w:szCs w:val="20"/>
              </w:rPr>
              <w:t>𝐼𝐴</w:t>
            </w:r>
            <w:r w:rsidRPr="009248F1">
              <w:rPr>
                <w:rFonts w:ascii="Cambria" w:hAnsi="Cambria"/>
                <w:sz w:val="20"/>
                <w:szCs w:val="20"/>
              </w:rPr>
              <w:t xml:space="preserve"> IA= </w:t>
            </w:r>
            <w:r w:rsidRPr="009248F1">
              <w:rPr>
                <w:rFonts w:ascii="Cambria Math" w:hAnsi="Cambria Math"/>
                <w:sz w:val="20"/>
                <w:szCs w:val="20"/>
              </w:rPr>
              <w:t>IAG x (</w:t>
            </w:r>
            <w:r w:rsidRPr="009248F1">
              <w:rPr>
                <w:rFonts w:ascii="Cambria Math" w:eastAsia="Cambria Math" w:hAnsi="Cambria Math" w:cs="Cambria Math"/>
                <w:sz w:val="20"/>
                <w:szCs w:val="20"/>
              </w:rPr>
              <w:t>𝑈𝐷𝛽</w:t>
            </w:r>
            <w:r w:rsidRPr="009248F1">
              <w:rPr>
                <w:rFonts w:ascii="Cambria Math" w:hAnsi="Cambria Math" w:cs="Times New Roman"/>
                <w:sz w:val="20"/>
                <w:szCs w:val="20"/>
              </w:rPr>
              <w:t>/</w:t>
            </w:r>
            <w:r w:rsidRPr="009248F1">
              <w:rPr>
                <w:rFonts w:ascii="Cambria Math" w:hAnsi="Cambria Math"/>
                <w:sz w:val="20"/>
                <w:szCs w:val="20"/>
              </w:rPr>
              <w:t xml:space="preserve"> Σ</w:t>
            </w:r>
            <w:r w:rsidRPr="009248F1">
              <w:rPr>
                <w:rFonts w:ascii="Cambria Math" w:eastAsia="Cambria Math" w:hAnsi="Cambria Math" w:cs="Cambria Math"/>
                <w:sz w:val="20"/>
                <w:szCs w:val="20"/>
              </w:rPr>
              <w:t>𝑈𝐷𝛽</w:t>
            </w:r>
            <w:r w:rsidRPr="009248F1">
              <w:rPr>
                <w:rFonts w:ascii="Cambria Math" w:hAnsi="Cambria Math"/>
                <w:sz w:val="20"/>
                <w:szCs w:val="20"/>
              </w:rPr>
              <w:t>)</w:t>
            </w:r>
          </w:p>
          <w:p w:rsidR="00287157" w:rsidRPr="009248F1" w:rsidRDefault="00287157" w:rsidP="00287157">
            <w:pPr>
              <w:jc w:val="both"/>
              <w:rPr>
                <w:rFonts w:ascii="Cambria" w:hAnsi="Cambria"/>
                <w:sz w:val="20"/>
                <w:szCs w:val="20"/>
              </w:rPr>
            </w:pPr>
            <w:r w:rsidRPr="009248F1">
              <w:rPr>
                <w:rFonts w:ascii="Cambria" w:hAnsi="Cambria"/>
                <w:sz w:val="20"/>
                <w:szCs w:val="20"/>
              </w:rPr>
              <w:t>Lo dispuesto en este parágrafo no aplica para:</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a) Las sociedades que se constituyeron como Zonas Económicas y Sociales Especiales -ZESE durante el periodo que su tarifa del impuesto sobre la renta sea del cero por ciento (0%), las sociedades que aplican el incentivo tributario de las zonas más afectadas por el conflicto armado -ZOMAC, las sociedades de que tratan los parágrafos 5 y 7 del presente artículo, siempre y cuando no estén obligadas a presentar el informe país por país de conformidad con lo establecido en el artículo 260-5 del Estatuto Tributario.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b) Las sociedades de que trata el parágrafo 1 del presente artículo.</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De igual forma no aplica lo indicado en este parágrafo para aquellos</w:t>
            </w:r>
          </w:p>
          <w:p w:rsidR="00287157" w:rsidRPr="009248F1" w:rsidRDefault="00287157" w:rsidP="00287157">
            <w:pPr>
              <w:jc w:val="both"/>
              <w:rPr>
                <w:rFonts w:ascii="Cambria" w:hAnsi="Cambria"/>
                <w:sz w:val="20"/>
                <w:szCs w:val="20"/>
              </w:rPr>
            </w:pPr>
            <w:r w:rsidRPr="009248F1">
              <w:rPr>
                <w:rFonts w:ascii="Cambria" w:hAnsi="Cambria"/>
                <w:sz w:val="20"/>
                <w:szCs w:val="20"/>
              </w:rPr>
              <w:t>contribuyentes cuyos estados financieros no sean objeto de consolidación y su Utilidad Depurada (UD) sea igual o menor a cero, o para los contribuyentes cuyos estados financieros sean objeto de consolidación y la sumatoria de la Utilidad Depurada (ΣUD) sea igual o menor a cero.</w:t>
            </w:r>
          </w:p>
          <w:p w:rsidR="00287157" w:rsidRPr="009248F1" w:rsidRDefault="00287157" w:rsidP="00287157">
            <w:pPr>
              <w:jc w:val="both"/>
              <w:rPr>
                <w:rFonts w:ascii="Cambria" w:hAnsi="Cambria"/>
                <w:sz w:val="20"/>
                <w:szCs w:val="20"/>
              </w:rPr>
            </w:pPr>
          </w:p>
          <w:p w:rsidR="00287157" w:rsidRPr="009248F1" w:rsidRDefault="00287157" w:rsidP="00287157">
            <w:pPr>
              <w:rPr>
                <w:rFonts w:ascii="Cambria" w:hAnsi="Cambria"/>
                <w:sz w:val="20"/>
                <w:szCs w:val="20"/>
              </w:rPr>
            </w:pPr>
            <w:r w:rsidRPr="009248F1">
              <w:rPr>
                <w:rFonts w:ascii="Cambria" w:hAnsi="Cambria"/>
                <w:sz w:val="20"/>
                <w:szCs w:val="20"/>
              </w:rPr>
              <w:t>c) Quienes se rijan por lo previsto en el artículo 32 de este Estatuto. </w:t>
            </w:r>
          </w:p>
          <w:p w:rsidR="00287157" w:rsidRPr="009248F1" w:rsidRDefault="00287157" w:rsidP="00287157">
            <w:pPr>
              <w:jc w:val="both"/>
              <w:rPr>
                <w:rFonts w:ascii="Cambria" w:hAnsi="Cambria"/>
                <w:sz w:val="20"/>
                <w:szCs w:val="20"/>
              </w:rPr>
            </w:pPr>
          </w:p>
          <w:p w:rsidR="00287157" w:rsidRPr="009248F1" w:rsidRDefault="00287157" w:rsidP="00287157">
            <w:pPr>
              <w:jc w:val="both"/>
              <w:rPr>
                <w:rFonts w:ascii="Cambria" w:hAnsi="Cambria"/>
                <w:sz w:val="20"/>
                <w:szCs w:val="20"/>
              </w:rPr>
            </w:pPr>
            <w:r w:rsidRPr="009248F1">
              <w:rPr>
                <w:rFonts w:ascii="Cambria" w:hAnsi="Cambria"/>
                <w:sz w:val="20"/>
                <w:szCs w:val="20"/>
              </w:rPr>
              <w:t>PARÁGRAFO 7. La tarifa del impuesto sobre la renta aplicable a las empresas editoriales constituidas en Colombia como personas jurídicas, cuya actividad económica y objeto social sea exclusivamente la edición de libros, en los términos de la Ley 98 de 1993, será del 15%.</w:t>
            </w:r>
          </w:p>
          <w:p w:rsidR="00287157" w:rsidRPr="009248F1" w:rsidRDefault="00287157" w:rsidP="00287157">
            <w:pPr>
              <w:rPr>
                <w:rFonts w:ascii="Arial" w:hAnsi="Arial" w:cs="Arial"/>
                <w:sz w:val="20"/>
                <w:szCs w:val="20"/>
              </w:rPr>
            </w:pPr>
          </w:p>
          <w:p w:rsidR="00287157" w:rsidRPr="009248F1" w:rsidRDefault="00287157" w:rsidP="00287157">
            <w:pPr>
              <w:jc w:val="both"/>
              <w:rPr>
                <w:rFonts w:ascii="Cambria" w:hAnsi="Cambria" w:cstheme="minorHAnsi"/>
                <w:b/>
                <w:color w:val="000000" w:themeColor="text1"/>
                <w:sz w:val="20"/>
                <w:szCs w:val="20"/>
                <w:lang w:eastAsia="es-CO"/>
              </w:rPr>
            </w:pPr>
          </w:p>
        </w:tc>
      </w:tr>
      <w:tr w:rsidR="00646E92" w:rsidTr="0059378C">
        <w:tc>
          <w:tcPr>
            <w:tcW w:w="4958" w:type="dxa"/>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b/>
                <w:sz w:val="20"/>
                <w:szCs w:val="20"/>
                <w:lang w:eastAsia="es-CO"/>
              </w:rPr>
              <w:lastRenderedPageBreak/>
              <w:t>Articulo 241. Tarifa para las personas naturales residentes y asignaciones y donaciones modales</w:t>
            </w:r>
            <w:r w:rsidRPr="00646E92">
              <w:rPr>
                <w:rFonts w:ascii="Cambria" w:hAnsi="Cambria" w:cstheme="minorHAnsi"/>
                <w:sz w:val="20"/>
                <w:szCs w:val="20"/>
                <w:lang w:eastAsia="es-CO"/>
              </w:rPr>
              <w:t xml:space="preserve"> El impuesto sobre la renta de las personas naturales residentes en el país, de las sucesiones de causantes residentes en el país, y de los bienes destinados a fines especiales, en virtud de donaciones o asignaciones </w:t>
            </w:r>
            <w:r w:rsidRPr="00646E92">
              <w:rPr>
                <w:rFonts w:ascii="Cambria" w:hAnsi="Cambria" w:cstheme="minorHAnsi"/>
                <w:sz w:val="20"/>
                <w:szCs w:val="20"/>
                <w:lang w:eastAsia="es-CO"/>
              </w:rPr>
              <w:lastRenderedPageBreak/>
              <w:t>modales, se determinará de acuerdo con la siguiente tabla.</w:t>
            </w:r>
          </w:p>
          <w:p w:rsidR="00646E92" w:rsidRDefault="00646E92" w:rsidP="00646E92">
            <w:pPr>
              <w:jc w:val="both"/>
              <w:rPr>
                <w:rFonts w:ascii="Cambria" w:hAnsi="Cambria" w:cstheme="minorHAnsi"/>
                <w:sz w:val="20"/>
                <w:szCs w:val="20"/>
                <w:lang w:eastAsia="es-CO"/>
              </w:rPr>
            </w:pPr>
          </w:p>
          <w:p w:rsidR="00646E92" w:rsidRDefault="00646E92" w:rsidP="00646E92">
            <w:pPr>
              <w:jc w:val="both"/>
              <w:rPr>
                <w:rFonts w:ascii="Cambria" w:hAnsi="Cambria" w:cstheme="minorHAnsi"/>
                <w:sz w:val="20"/>
                <w:szCs w:val="20"/>
                <w:lang w:eastAsia="es-CO"/>
              </w:rPr>
            </w:pP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bl>
            <w:tblPr>
              <w:tblStyle w:val="Tablaconcuadrcula"/>
              <w:tblW w:w="0" w:type="auto"/>
              <w:tblLook w:val="04A0" w:firstRow="1" w:lastRow="0" w:firstColumn="1" w:lastColumn="0" w:noHBand="0" w:noVBand="1"/>
            </w:tblPr>
            <w:tblGrid>
              <w:gridCol w:w="1014"/>
              <w:gridCol w:w="1015"/>
              <w:gridCol w:w="1016"/>
              <w:gridCol w:w="1147"/>
            </w:tblGrid>
            <w:tr w:rsidR="00646E92" w:rsidRPr="00646E92" w:rsidTr="00646E92">
              <w:tc>
                <w:tcPr>
                  <w:tcW w:w="2029" w:type="dxa"/>
                  <w:gridSpan w:val="2"/>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 xml:space="preserve">Rangos en </w:t>
                  </w:r>
                  <w:proofErr w:type="spellStart"/>
                  <w:r w:rsidRPr="00646E92">
                    <w:rPr>
                      <w:rFonts w:ascii="Cambria" w:hAnsi="Cambria" w:cstheme="minorHAnsi"/>
                      <w:sz w:val="20"/>
                      <w:szCs w:val="20"/>
                    </w:rPr>
                    <w:t>uvt</w:t>
                  </w:r>
                  <w:proofErr w:type="spellEnd"/>
                </w:p>
              </w:tc>
              <w:tc>
                <w:tcPr>
                  <w:tcW w:w="1016" w:type="dxa"/>
                  <w:vMerge w:val="restart"/>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Tarifa marginal</w:t>
                  </w:r>
                </w:p>
              </w:tc>
              <w:tc>
                <w:tcPr>
                  <w:tcW w:w="1143" w:type="dxa"/>
                  <w:vMerge w:val="restart"/>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Impuesto</w:t>
                  </w: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Desde</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Hasta</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016" w:type="dxa"/>
                  <w:vMerge/>
                </w:tcPr>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143" w:type="dxa"/>
                  <w:vMerge/>
                </w:tcPr>
                <w:p w:rsidR="00646E92" w:rsidRPr="00646E92" w:rsidRDefault="00646E92" w:rsidP="00646E92">
                  <w:pPr>
                    <w:jc w:val="both"/>
                    <w:rPr>
                      <w:rFonts w:ascii="Cambria" w:hAnsi="Cambria" w:cstheme="minorHAnsi"/>
                      <w:sz w:val="20"/>
                      <w:szCs w:val="20"/>
                      <w:lang w:eastAsia="es-CO"/>
                    </w:rPr>
                  </w:pP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1.090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0%</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0</w:t>
                  </w: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1.090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1.700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19%</w:t>
                  </w:r>
                </w:p>
              </w:tc>
              <w:tc>
                <w:tcPr>
                  <w:tcW w:w="1143" w:type="dxa"/>
                  <w:vAlign w:val="center"/>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sz w:val="20"/>
                      <w:szCs w:val="20"/>
                      <w:lang w:eastAsia="es-CO"/>
                    </w:rPr>
                    <w:t>(Base gravable expresada en UVT menos 1.090 UVT)* 19%</w:t>
                  </w:r>
                </w:p>
                <w:p w:rsidR="00646E92" w:rsidRPr="00646E92" w:rsidRDefault="00646E92" w:rsidP="00646E92">
                  <w:pPr>
                    <w:jc w:val="both"/>
                    <w:rPr>
                      <w:rFonts w:ascii="Cambria" w:hAnsi="Cambria" w:cstheme="minorHAnsi"/>
                      <w:sz w:val="20"/>
                      <w:szCs w:val="20"/>
                      <w:lang w:eastAsia="es-CO"/>
                    </w:rPr>
                  </w:pP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1.700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4.100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theme="minorHAnsi"/>
                      <w:sz w:val="20"/>
                      <w:szCs w:val="20"/>
                      <w:highlight w:val="yellow"/>
                    </w:rPr>
                    <w:t>28%</w:t>
                  </w:r>
                </w:p>
              </w:tc>
              <w:tc>
                <w:tcPr>
                  <w:tcW w:w="1143" w:type="dxa"/>
                  <w:vAlign w:val="center"/>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sz w:val="20"/>
                      <w:szCs w:val="20"/>
                      <w:lang w:eastAsia="es-CO"/>
                    </w:rPr>
                    <w:t>(Base gravable expresada en UVT menos 1.700 UVT)*</w:t>
                  </w:r>
                  <w:r w:rsidRPr="001F3CB3">
                    <w:rPr>
                      <w:rFonts w:ascii="Cambria" w:hAnsi="Cambria" w:cstheme="minorHAnsi"/>
                      <w:sz w:val="20"/>
                      <w:szCs w:val="20"/>
                      <w:highlight w:val="yellow"/>
                      <w:lang w:eastAsia="es-CO"/>
                    </w:rPr>
                    <w:t>28%</w:t>
                  </w:r>
                  <w:r w:rsidRPr="00646E92">
                    <w:rPr>
                      <w:rFonts w:ascii="Cambria" w:hAnsi="Cambria" w:cstheme="minorHAnsi"/>
                      <w:sz w:val="20"/>
                      <w:szCs w:val="20"/>
                      <w:lang w:eastAsia="es-CO"/>
                    </w:rPr>
                    <w:t xml:space="preserve"> + 116 UVT</w:t>
                  </w:r>
                </w:p>
                <w:p w:rsidR="00646E92" w:rsidRPr="00646E92" w:rsidRDefault="00646E92" w:rsidP="00646E92">
                  <w:pPr>
                    <w:jc w:val="both"/>
                    <w:rPr>
                      <w:rFonts w:ascii="Cambria" w:hAnsi="Cambria" w:cstheme="minorHAnsi"/>
                      <w:sz w:val="20"/>
                      <w:szCs w:val="20"/>
                      <w:lang w:eastAsia="es-CO"/>
                    </w:rPr>
                  </w:pP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4.100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8.670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theme="minorHAnsi"/>
                      <w:sz w:val="20"/>
                      <w:szCs w:val="20"/>
                      <w:highlight w:val="yellow"/>
                    </w:rPr>
                    <w:t>33%</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(Base gravable expresada en UVT menos 4.100 UVT)*</w:t>
                  </w:r>
                  <w:r w:rsidRPr="001F3CB3">
                    <w:rPr>
                      <w:rFonts w:ascii="Cambria" w:hAnsi="Cambria" w:cstheme="minorHAnsi"/>
                      <w:sz w:val="20"/>
                      <w:szCs w:val="20"/>
                      <w:highlight w:val="yellow"/>
                    </w:rPr>
                    <w:t>33% + 788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646E92">
              <w:trPr>
                <w:trHeight w:val="1344"/>
              </w:trPr>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&gt;8.670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18.970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Arial"/>
                      <w:color w:val="000000" w:themeColor="text1"/>
                      <w:sz w:val="20"/>
                      <w:szCs w:val="20"/>
                      <w:highlight w:val="yellow"/>
                    </w:rPr>
                    <w:t>35%</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8.670 UVT) x </w:t>
                  </w:r>
                  <w:r w:rsidRPr="001F3CB3">
                    <w:rPr>
                      <w:rFonts w:ascii="Cambria" w:hAnsi="Cambria" w:cs="Arial"/>
                      <w:color w:val="000000" w:themeColor="text1"/>
                      <w:sz w:val="20"/>
                      <w:szCs w:val="20"/>
                      <w:highlight w:val="yellow"/>
                    </w:rPr>
                    <w:t>35% + 2.296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&gt;18.970</w:t>
                  </w:r>
                </w:p>
              </w:tc>
              <w:tc>
                <w:tcPr>
                  <w:tcW w:w="1015" w:type="dxa"/>
                </w:tcPr>
                <w:p w:rsidR="00646E92" w:rsidRPr="00646E92" w:rsidRDefault="00646E92" w:rsidP="00646E92">
                  <w:pPr>
                    <w:jc w:val="center"/>
                    <w:rPr>
                      <w:rFonts w:ascii="Cambria" w:hAnsi="Cambria" w:cs="Arial"/>
                      <w:color w:val="000000" w:themeColor="text1"/>
                      <w:sz w:val="20"/>
                      <w:szCs w:val="20"/>
                    </w:rPr>
                  </w:pPr>
                  <w:r w:rsidRPr="00646E92">
                    <w:rPr>
                      <w:rFonts w:ascii="Cambria" w:hAnsi="Cambria" w:cs="Arial"/>
                      <w:color w:val="000000" w:themeColor="text1"/>
                      <w:sz w:val="20"/>
                      <w:szCs w:val="20"/>
                    </w:rPr>
                    <w:t>31.000</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Arial"/>
                      <w:color w:val="000000" w:themeColor="text1"/>
                      <w:sz w:val="20"/>
                      <w:szCs w:val="20"/>
                      <w:highlight w:val="yellow"/>
                    </w:rPr>
                    <w:t>37%</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18.970 UVT) x </w:t>
                  </w:r>
                  <w:r w:rsidRPr="001F3CB3">
                    <w:rPr>
                      <w:rFonts w:ascii="Cambria" w:hAnsi="Cambria" w:cs="Arial"/>
                      <w:color w:val="000000" w:themeColor="text1"/>
                      <w:sz w:val="20"/>
                      <w:szCs w:val="20"/>
                      <w:highlight w:val="yellow"/>
                    </w:rPr>
                    <w:lastRenderedPageBreak/>
                    <w:t>37% + 5.901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646E92">
              <w:tc>
                <w:tcPr>
                  <w:tcW w:w="1014" w:type="dxa"/>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lastRenderedPageBreak/>
                    <w:t>&gt;31.000</w:t>
                  </w:r>
                </w:p>
              </w:tc>
              <w:tc>
                <w:tcPr>
                  <w:tcW w:w="1015" w:type="dxa"/>
                </w:tcPr>
                <w:p w:rsidR="00646E92" w:rsidRPr="00646E92" w:rsidRDefault="00646E92" w:rsidP="00646E92">
                  <w:pPr>
                    <w:jc w:val="center"/>
                    <w:rPr>
                      <w:rFonts w:ascii="Cambria" w:hAnsi="Cambria" w:cs="Arial"/>
                      <w:color w:val="000000" w:themeColor="text1"/>
                      <w:sz w:val="20"/>
                      <w:szCs w:val="20"/>
                    </w:rPr>
                  </w:pPr>
                  <w:r w:rsidRPr="00646E92">
                    <w:rPr>
                      <w:rFonts w:ascii="Cambria" w:hAnsi="Cambria" w:cs="Arial"/>
                      <w:color w:val="000000" w:themeColor="text1"/>
                      <w:sz w:val="20"/>
                      <w:szCs w:val="20"/>
                    </w:rPr>
                    <w:t>En adelante</w:t>
                  </w:r>
                </w:p>
              </w:tc>
              <w:tc>
                <w:tcPr>
                  <w:tcW w:w="1016" w:type="dxa"/>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1F3CB3">
                    <w:rPr>
                      <w:rFonts w:ascii="Cambria" w:hAnsi="Cambria" w:cs="Arial"/>
                      <w:color w:val="000000" w:themeColor="text1"/>
                      <w:sz w:val="20"/>
                      <w:szCs w:val="20"/>
                      <w:highlight w:val="yellow"/>
                    </w:rPr>
                    <w:t>39%</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31.000 UVT) x </w:t>
                  </w:r>
                  <w:r w:rsidRPr="001F3CB3">
                    <w:rPr>
                      <w:rFonts w:ascii="Cambria" w:hAnsi="Cambria" w:cs="Arial"/>
                      <w:color w:val="000000" w:themeColor="text1"/>
                      <w:sz w:val="20"/>
                      <w:szCs w:val="20"/>
                      <w:highlight w:val="yellow"/>
                    </w:rPr>
                    <w:t>39% +  10.352</w:t>
                  </w:r>
                  <w:r w:rsidRPr="00646E92">
                    <w:rPr>
                      <w:rFonts w:ascii="Cambria" w:hAnsi="Cambria" w:cs="Arial"/>
                      <w:color w:val="000000" w:themeColor="text1"/>
                      <w:sz w:val="20"/>
                      <w:szCs w:val="20"/>
                    </w:rPr>
                    <w:t xml:space="preserve"> UVT</w:t>
                  </w:r>
                </w:p>
              </w:tc>
            </w:tr>
          </w:tbl>
          <w:p w:rsidR="00646E92" w:rsidRPr="00646E92" w:rsidRDefault="00646E92" w:rsidP="00646E92">
            <w:pPr>
              <w:rPr>
                <w:sz w:val="20"/>
                <w:szCs w:val="20"/>
              </w:rPr>
            </w:pPr>
          </w:p>
          <w:p w:rsidR="00646E92" w:rsidRPr="00646E92" w:rsidRDefault="00646E92" w:rsidP="00646E92">
            <w:pPr>
              <w:rPr>
                <w:rFonts w:ascii="Cambria" w:hAnsi="Cambria"/>
                <w:sz w:val="20"/>
                <w:szCs w:val="20"/>
                <w:lang w:val="es-ES"/>
              </w:rPr>
            </w:pPr>
          </w:p>
        </w:tc>
        <w:tc>
          <w:tcPr>
            <w:tcW w:w="4865" w:type="dxa"/>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b/>
                <w:sz w:val="20"/>
                <w:szCs w:val="20"/>
                <w:lang w:eastAsia="es-CO"/>
              </w:rPr>
              <w:lastRenderedPageBreak/>
              <w:t>Articulo 241. Tarifa para las personas naturales residentes y asignaciones y donaciones modales</w:t>
            </w:r>
            <w:r w:rsidRPr="00646E92">
              <w:rPr>
                <w:rFonts w:ascii="Cambria" w:hAnsi="Cambria" w:cstheme="minorHAnsi"/>
                <w:sz w:val="20"/>
                <w:szCs w:val="20"/>
                <w:lang w:eastAsia="es-CO"/>
              </w:rPr>
              <w:t xml:space="preserve"> </w:t>
            </w:r>
            <w:r w:rsidRPr="00646E92">
              <w:rPr>
                <w:rFonts w:ascii="Cambria" w:hAnsi="Cambria" w:cstheme="minorHAnsi"/>
                <w:b/>
                <w:bCs/>
                <w:color w:val="FF0000"/>
                <w:sz w:val="20"/>
                <w:szCs w:val="20"/>
                <w:lang w:eastAsia="es-CO"/>
              </w:rPr>
              <w:t xml:space="preserve">(modificado con artículo 15 proyecto de Ley </w:t>
            </w:r>
            <w:r w:rsidR="00FB60A2">
              <w:rPr>
                <w:rFonts w:ascii="Cambria" w:hAnsi="Cambria" w:cstheme="minorHAnsi"/>
                <w:b/>
                <w:bCs/>
                <w:color w:val="FF0000"/>
                <w:sz w:val="20"/>
                <w:szCs w:val="20"/>
                <w:lang w:eastAsia="es-CO"/>
              </w:rPr>
              <w:t>de septiembre</w:t>
            </w:r>
            <w:r w:rsidRPr="00646E92">
              <w:rPr>
                <w:rFonts w:ascii="Cambria" w:hAnsi="Cambria" w:cstheme="minorHAnsi"/>
                <w:b/>
                <w:bCs/>
                <w:color w:val="FF0000"/>
                <w:sz w:val="20"/>
                <w:szCs w:val="20"/>
                <w:lang w:eastAsia="es-CO"/>
              </w:rPr>
              <w:t xml:space="preserve"> de 2025</w:t>
            </w:r>
            <w:r>
              <w:rPr>
                <w:rFonts w:ascii="Cambria" w:hAnsi="Cambria" w:cstheme="minorHAnsi"/>
                <w:sz w:val="20"/>
                <w:szCs w:val="20"/>
                <w:lang w:eastAsia="es-CO"/>
              </w:rPr>
              <w:t xml:space="preserve">) </w:t>
            </w:r>
            <w:r w:rsidRPr="00646E92">
              <w:rPr>
                <w:rFonts w:ascii="Cambria" w:hAnsi="Cambria" w:cstheme="minorHAnsi"/>
                <w:sz w:val="20"/>
                <w:szCs w:val="20"/>
                <w:lang w:eastAsia="es-CO"/>
              </w:rPr>
              <w:t xml:space="preserve">El impuesto sobre la renta de las personas naturales residentes en el país, de las sucesiones de causantes residentes en el país, y de los </w:t>
            </w:r>
            <w:r w:rsidRPr="00646E92">
              <w:rPr>
                <w:rFonts w:ascii="Cambria" w:hAnsi="Cambria" w:cstheme="minorHAnsi"/>
                <w:sz w:val="20"/>
                <w:szCs w:val="20"/>
                <w:lang w:eastAsia="es-CO"/>
              </w:rPr>
              <w:lastRenderedPageBreak/>
              <w:t>bienes destinados a fines especiales, en virtud de donaciones o asignaciones modales, se determinará de acuerdo con la siguiente tabla.</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bl>
            <w:tblPr>
              <w:tblStyle w:val="Tablaconcuadrcula"/>
              <w:tblW w:w="0" w:type="auto"/>
              <w:tblLook w:val="04A0" w:firstRow="1" w:lastRow="0" w:firstColumn="1" w:lastColumn="0" w:noHBand="0" w:noVBand="1"/>
            </w:tblPr>
            <w:tblGrid>
              <w:gridCol w:w="1014"/>
              <w:gridCol w:w="1015"/>
              <w:gridCol w:w="1016"/>
              <w:gridCol w:w="1147"/>
            </w:tblGrid>
            <w:tr w:rsidR="00646E92" w:rsidRPr="00646E92" w:rsidTr="009708F4">
              <w:tc>
                <w:tcPr>
                  <w:tcW w:w="2029" w:type="dxa"/>
                  <w:gridSpan w:val="2"/>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 xml:space="preserve">Rangos en </w:t>
                  </w:r>
                  <w:proofErr w:type="spellStart"/>
                  <w:r w:rsidRPr="00646E92">
                    <w:rPr>
                      <w:rFonts w:ascii="Cambria" w:hAnsi="Cambria" w:cstheme="minorHAnsi"/>
                      <w:sz w:val="20"/>
                      <w:szCs w:val="20"/>
                    </w:rPr>
                    <w:t>uvt</w:t>
                  </w:r>
                  <w:proofErr w:type="spellEnd"/>
                </w:p>
              </w:tc>
              <w:tc>
                <w:tcPr>
                  <w:tcW w:w="1016" w:type="dxa"/>
                  <w:vMerge w:val="restart"/>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Tarifa marginal</w:t>
                  </w:r>
                </w:p>
              </w:tc>
              <w:tc>
                <w:tcPr>
                  <w:tcW w:w="1143" w:type="dxa"/>
                  <w:vMerge w:val="restart"/>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Impuesto</w:t>
                  </w: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Desde</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Hasta</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016" w:type="dxa"/>
                  <w:vMerge/>
                </w:tcPr>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143" w:type="dxa"/>
                  <w:vMerge/>
                </w:tcPr>
                <w:p w:rsidR="00646E92" w:rsidRPr="00646E92" w:rsidRDefault="00646E92" w:rsidP="00646E92">
                  <w:pPr>
                    <w:jc w:val="both"/>
                    <w:rPr>
                      <w:rFonts w:ascii="Cambria" w:hAnsi="Cambria" w:cstheme="minorHAnsi"/>
                      <w:sz w:val="20"/>
                      <w:szCs w:val="20"/>
                      <w:lang w:eastAsia="es-CO"/>
                    </w:rPr>
                  </w:pP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1.090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0%</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0</w:t>
                  </w: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1.090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1.700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19%</w:t>
                  </w:r>
                </w:p>
              </w:tc>
              <w:tc>
                <w:tcPr>
                  <w:tcW w:w="1143" w:type="dxa"/>
                  <w:vAlign w:val="center"/>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sz w:val="20"/>
                      <w:szCs w:val="20"/>
                      <w:lang w:eastAsia="es-CO"/>
                    </w:rPr>
                    <w:t>(Base gravable expresada en UVT menos 1.090 UVT)* 19%</w:t>
                  </w:r>
                </w:p>
                <w:p w:rsidR="00646E92" w:rsidRPr="00646E92" w:rsidRDefault="00646E92" w:rsidP="00646E92">
                  <w:pPr>
                    <w:jc w:val="both"/>
                    <w:rPr>
                      <w:rFonts w:ascii="Cambria" w:hAnsi="Cambria" w:cstheme="minorHAnsi"/>
                      <w:sz w:val="20"/>
                      <w:szCs w:val="20"/>
                      <w:lang w:eastAsia="es-CO"/>
                    </w:rPr>
                  </w:pP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1.700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4.100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highlight w:val="yellow"/>
                    </w:rPr>
                    <w:t>29%</w:t>
                  </w:r>
                </w:p>
              </w:tc>
              <w:tc>
                <w:tcPr>
                  <w:tcW w:w="1143" w:type="dxa"/>
                  <w:vAlign w:val="center"/>
                </w:tcPr>
                <w:p w:rsidR="00646E92" w:rsidRPr="00646E92" w:rsidRDefault="00646E92" w:rsidP="00646E92">
                  <w:pPr>
                    <w:jc w:val="both"/>
                    <w:rPr>
                      <w:rFonts w:ascii="Cambria" w:hAnsi="Cambria" w:cstheme="minorHAnsi"/>
                      <w:sz w:val="20"/>
                      <w:szCs w:val="20"/>
                      <w:lang w:eastAsia="es-CO"/>
                    </w:rPr>
                  </w:pPr>
                  <w:r w:rsidRPr="00646E92">
                    <w:rPr>
                      <w:rFonts w:ascii="Cambria" w:hAnsi="Cambria" w:cstheme="minorHAnsi"/>
                      <w:sz w:val="20"/>
                      <w:szCs w:val="20"/>
                      <w:lang w:eastAsia="es-CO"/>
                    </w:rPr>
                    <w:t>(Base gravable expresada en UVT menos 1.700 UVT)*</w:t>
                  </w:r>
                  <w:r w:rsidRPr="00646E92">
                    <w:rPr>
                      <w:rFonts w:ascii="Cambria" w:hAnsi="Cambria" w:cstheme="minorHAnsi"/>
                      <w:sz w:val="20"/>
                      <w:szCs w:val="20"/>
                      <w:highlight w:val="yellow"/>
                      <w:lang w:eastAsia="es-CO"/>
                    </w:rPr>
                    <w:t>29%</w:t>
                  </w:r>
                  <w:r w:rsidRPr="00646E92">
                    <w:rPr>
                      <w:rFonts w:ascii="Cambria" w:hAnsi="Cambria" w:cstheme="minorHAnsi"/>
                      <w:sz w:val="20"/>
                      <w:szCs w:val="20"/>
                      <w:lang w:eastAsia="es-CO"/>
                    </w:rPr>
                    <w:t xml:space="preserve"> + 116 UVT</w:t>
                  </w:r>
                </w:p>
                <w:p w:rsidR="00646E92" w:rsidRPr="00646E92" w:rsidRDefault="00646E92" w:rsidP="00646E92">
                  <w:pPr>
                    <w:jc w:val="both"/>
                    <w:rPr>
                      <w:rFonts w:ascii="Cambria" w:hAnsi="Cambria" w:cstheme="minorHAnsi"/>
                      <w:sz w:val="20"/>
                      <w:szCs w:val="20"/>
                      <w:lang w:eastAsia="es-CO"/>
                    </w:rPr>
                  </w:pP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&gt; 4.100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8.670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highlight w:val="yellow"/>
                    </w:rPr>
                    <w:t>35%</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theme="minorHAnsi"/>
                      <w:sz w:val="20"/>
                      <w:szCs w:val="20"/>
                    </w:rPr>
                    <w:t>(Base gravable expresada en UVT menos 4.100 UVT)*</w:t>
                  </w:r>
                  <w:r w:rsidRPr="001F3CB3">
                    <w:rPr>
                      <w:rFonts w:ascii="Cambria" w:hAnsi="Cambria" w:cstheme="minorHAnsi"/>
                      <w:sz w:val="20"/>
                      <w:szCs w:val="20"/>
                      <w:highlight w:val="yellow"/>
                    </w:rPr>
                    <w:t>3</w:t>
                  </w:r>
                  <w:r w:rsidR="001F3CB3" w:rsidRPr="001F3CB3">
                    <w:rPr>
                      <w:rFonts w:ascii="Cambria" w:hAnsi="Cambria" w:cstheme="minorHAnsi"/>
                      <w:sz w:val="20"/>
                      <w:szCs w:val="20"/>
                      <w:highlight w:val="yellow"/>
                    </w:rPr>
                    <w:t>5</w:t>
                  </w:r>
                  <w:r w:rsidRPr="00646E92">
                    <w:rPr>
                      <w:rFonts w:ascii="Cambria" w:hAnsi="Cambria" w:cstheme="minorHAnsi"/>
                      <w:sz w:val="20"/>
                      <w:szCs w:val="20"/>
                    </w:rPr>
                    <w:t xml:space="preserve">% + </w:t>
                  </w:r>
                  <w:r w:rsidR="001F3CB3" w:rsidRPr="001F3CB3">
                    <w:rPr>
                      <w:rFonts w:ascii="Cambria" w:hAnsi="Cambria" w:cstheme="minorHAnsi"/>
                      <w:sz w:val="20"/>
                      <w:szCs w:val="20"/>
                      <w:highlight w:val="yellow"/>
                    </w:rPr>
                    <w:t>812</w:t>
                  </w:r>
                  <w:r w:rsidRPr="00646E92">
                    <w:rPr>
                      <w:rFonts w:ascii="Cambria" w:hAnsi="Cambria" w:cstheme="minorHAnsi"/>
                      <w:sz w:val="20"/>
                      <w:szCs w:val="20"/>
                    </w:rPr>
                    <w:t xml:space="preserve">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9708F4">
              <w:trPr>
                <w:trHeight w:val="1344"/>
              </w:trPr>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&gt;8.670</w:t>
                  </w:r>
                </w:p>
              </w:tc>
              <w:tc>
                <w:tcPr>
                  <w:tcW w:w="1015"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18.970</w:t>
                  </w: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Arial"/>
                      <w:color w:val="000000" w:themeColor="text1"/>
                      <w:sz w:val="20"/>
                      <w:szCs w:val="20"/>
                      <w:highlight w:val="yellow"/>
                    </w:rPr>
                    <w:t>3</w:t>
                  </w:r>
                  <w:r w:rsidR="001F3CB3" w:rsidRPr="001F3CB3">
                    <w:rPr>
                      <w:rFonts w:ascii="Cambria" w:hAnsi="Cambria" w:cs="Arial"/>
                      <w:color w:val="000000" w:themeColor="text1"/>
                      <w:sz w:val="20"/>
                      <w:szCs w:val="20"/>
                      <w:highlight w:val="yellow"/>
                    </w:rPr>
                    <w:t>7</w:t>
                  </w:r>
                  <w:r w:rsidRPr="001F3CB3">
                    <w:rPr>
                      <w:rFonts w:ascii="Cambria" w:hAnsi="Cambria" w:cs="Arial"/>
                      <w:color w:val="000000" w:themeColor="text1"/>
                      <w:sz w:val="20"/>
                      <w:szCs w:val="20"/>
                      <w:highlight w:val="yellow"/>
                    </w:rPr>
                    <w:t>%</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8.670 UVT) x </w:t>
                  </w:r>
                  <w:r w:rsidRPr="001F3CB3">
                    <w:rPr>
                      <w:rFonts w:ascii="Cambria" w:hAnsi="Cambria" w:cs="Arial"/>
                      <w:color w:val="000000" w:themeColor="text1"/>
                      <w:sz w:val="20"/>
                      <w:szCs w:val="20"/>
                      <w:highlight w:val="yellow"/>
                    </w:rPr>
                    <w:t>3</w:t>
                  </w:r>
                  <w:r w:rsidR="001F3CB3" w:rsidRPr="001F3CB3">
                    <w:rPr>
                      <w:rFonts w:ascii="Cambria" w:hAnsi="Cambria" w:cs="Arial"/>
                      <w:color w:val="000000" w:themeColor="text1"/>
                      <w:sz w:val="20"/>
                      <w:szCs w:val="20"/>
                      <w:highlight w:val="yellow"/>
                    </w:rPr>
                    <w:t>7</w:t>
                  </w:r>
                  <w:r w:rsidRPr="001F3CB3">
                    <w:rPr>
                      <w:rFonts w:ascii="Cambria" w:hAnsi="Cambria" w:cs="Arial"/>
                      <w:color w:val="000000" w:themeColor="text1"/>
                      <w:sz w:val="20"/>
                      <w:szCs w:val="20"/>
                      <w:highlight w:val="yellow"/>
                    </w:rPr>
                    <w:t>%</w:t>
                  </w:r>
                  <w:r w:rsidRPr="00646E92">
                    <w:rPr>
                      <w:rFonts w:ascii="Cambria" w:hAnsi="Cambria" w:cs="Arial"/>
                      <w:color w:val="000000" w:themeColor="text1"/>
                      <w:sz w:val="20"/>
                      <w:szCs w:val="20"/>
                    </w:rPr>
                    <w:t xml:space="preserve"> + </w:t>
                  </w:r>
                  <w:r w:rsidRPr="001F3CB3">
                    <w:rPr>
                      <w:rFonts w:ascii="Cambria" w:hAnsi="Cambria" w:cs="Arial"/>
                      <w:color w:val="000000" w:themeColor="text1"/>
                      <w:sz w:val="20"/>
                      <w:szCs w:val="20"/>
                      <w:highlight w:val="yellow"/>
                    </w:rPr>
                    <w:t>2.</w:t>
                  </w:r>
                  <w:r w:rsidR="001F3CB3" w:rsidRPr="001F3CB3">
                    <w:rPr>
                      <w:rFonts w:ascii="Cambria" w:hAnsi="Cambria" w:cs="Arial"/>
                      <w:color w:val="000000" w:themeColor="text1"/>
                      <w:sz w:val="20"/>
                      <w:szCs w:val="20"/>
                      <w:highlight w:val="yellow"/>
                    </w:rPr>
                    <w:t>411</w:t>
                  </w:r>
                  <w:r w:rsidRPr="00646E92">
                    <w:rPr>
                      <w:rFonts w:ascii="Cambria" w:hAnsi="Cambria" w:cs="Arial"/>
                      <w:color w:val="000000" w:themeColor="text1"/>
                      <w:sz w:val="20"/>
                      <w:szCs w:val="20"/>
                    </w:rPr>
                    <w:t xml:space="preserve">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646E92">
                    <w:rPr>
                      <w:rFonts w:ascii="Cambria" w:hAnsi="Cambria" w:cs="Arial"/>
                      <w:color w:val="000000" w:themeColor="text1"/>
                      <w:sz w:val="20"/>
                      <w:szCs w:val="20"/>
                    </w:rPr>
                    <w:t>&gt;18.970</w:t>
                  </w:r>
                </w:p>
              </w:tc>
              <w:tc>
                <w:tcPr>
                  <w:tcW w:w="1015" w:type="dxa"/>
                </w:tcPr>
                <w:p w:rsidR="00646E92" w:rsidRPr="00646E92" w:rsidRDefault="00646E92" w:rsidP="00646E92">
                  <w:pPr>
                    <w:jc w:val="center"/>
                    <w:rPr>
                      <w:rFonts w:ascii="Cambria" w:hAnsi="Cambria" w:cs="Arial"/>
                      <w:color w:val="000000" w:themeColor="text1"/>
                      <w:sz w:val="20"/>
                      <w:szCs w:val="20"/>
                    </w:rPr>
                  </w:pPr>
                  <w:r w:rsidRPr="00646E92">
                    <w:rPr>
                      <w:rFonts w:ascii="Cambria" w:hAnsi="Cambria" w:cs="Arial"/>
                      <w:color w:val="000000" w:themeColor="text1"/>
                      <w:sz w:val="20"/>
                      <w:szCs w:val="20"/>
                    </w:rPr>
                    <w:t>31.000</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c>
                <w:tcPr>
                  <w:tcW w:w="1016" w:type="dxa"/>
                </w:tcPr>
                <w:p w:rsidR="00646E92" w:rsidRPr="00646E92" w:rsidRDefault="00646E92" w:rsidP="00646E92">
                  <w:pPr>
                    <w:pStyle w:val="NormalWeb"/>
                    <w:spacing w:before="0" w:beforeAutospacing="0" w:after="0" w:afterAutospacing="0"/>
                    <w:jc w:val="both"/>
                    <w:rPr>
                      <w:rFonts w:ascii="Cambria" w:hAnsi="Cambria" w:cstheme="minorHAnsi"/>
                      <w:sz w:val="20"/>
                      <w:szCs w:val="20"/>
                    </w:rPr>
                  </w:pPr>
                  <w:r w:rsidRPr="001F3CB3">
                    <w:rPr>
                      <w:rFonts w:ascii="Cambria" w:hAnsi="Cambria" w:cs="Arial"/>
                      <w:color w:val="000000" w:themeColor="text1"/>
                      <w:sz w:val="20"/>
                      <w:szCs w:val="20"/>
                      <w:highlight w:val="yellow"/>
                    </w:rPr>
                    <w:t>3</w:t>
                  </w:r>
                  <w:r w:rsidR="001F3CB3" w:rsidRPr="001F3CB3">
                    <w:rPr>
                      <w:rFonts w:ascii="Cambria" w:hAnsi="Cambria" w:cs="Arial"/>
                      <w:color w:val="000000" w:themeColor="text1"/>
                      <w:sz w:val="20"/>
                      <w:szCs w:val="20"/>
                      <w:highlight w:val="yellow"/>
                    </w:rPr>
                    <w:t>9</w:t>
                  </w:r>
                  <w:r w:rsidRPr="001F3CB3">
                    <w:rPr>
                      <w:rFonts w:ascii="Cambria" w:hAnsi="Cambria" w:cs="Arial"/>
                      <w:color w:val="000000" w:themeColor="text1"/>
                      <w:sz w:val="20"/>
                      <w:szCs w:val="20"/>
                      <w:highlight w:val="yellow"/>
                    </w:rPr>
                    <w:t>%</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18.970 UVT) x </w:t>
                  </w:r>
                  <w:r w:rsidRPr="001F3CB3">
                    <w:rPr>
                      <w:rFonts w:ascii="Cambria" w:hAnsi="Cambria" w:cs="Arial"/>
                      <w:color w:val="000000" w:themeColor="text1"/>
                      <w:sz w:val="20"/>
                      <w:szCs w:val="20"/>
                      <w:highlight w:val="yellow"/>
                    </w:rPr>
                    <w:t>3</w:t>
                  </w:r>
                  <w:r w:rsidR="001F3CB3" w:rsidRPr="001F3CB3">
                    <w:rPr>
                      <w:rFonts w:ascii="Cambria" w:hAnsi="Cambria" w:cs="Arial"/>
                      <w:color w:val="000000" w:themeColor="text1"/>
                      <w:sz w:val="20"/>
                      <w:szCs w:val="20"/>
                      <w:highlight w:val="yellow"/>
                    </w:rPr>
                    <w:t>9</w:t>
                  </w:r>
                  <w:r w:rsidRPr="001F3CB3">
                    <w:rPr>
                      <w:rFonts w:ascii="Cambria" w:hAnsi="Cambria" w:cs="Arial"/>
                      <w:color w:val="000000" w:themeColor="text1"/>
                      <w:sz w:val="20"/>
                      <w:szCs w:val="20"/>
                      <w:highlight w:val="yellow"/>
                    </w:rPr>
                    <w:t>%</w:t>
                  </w:r>
                  <w:r w:rsidRPr="00646E92">
                    <w:rPr>
                      <w:rFonts w:ascii="Cambria" w:hAnsi="Cambria" w:cs="Arial"/>
                      <w:color w:val="000000" w:themeColor="text1"/>
                      <w:sz w:val="20"/>
                      <w:szCs w:val="20"/>
                    </w:rPr>
                    <w:t xml:space="preserve"> + </w:t>
                  </w:r>
                  <w:r w:rsidR="001F3CB3" w:rsidRPr="001F3CB3">
                    <w:rPr>
                      <w:rFonts w:ascii="Cambria" w:hAnsi="Cambria" w:cs="Arial"/>
                      <w:color w:val="000000" w:themeColor="text1"/>
                      <w:sz w:val="20"/>
                      <w:szCs w:val="20"/>
                      <w:highlight w:val="yellow"/>
                    </w:rPr>
                    <w:t>6.555</w:t>
                  </w:r>
                  <w:r w:rsidRPr="001F3CB3">
                    <w:rPr>
                      <w:rFonts w:ascii="Cambria" w:hAnsi="Cambria" w:cs="Arial"/>
                      <w:color w:val="000000" w:themeColor="text1"/>
                      <w:sz w:val="20"/>
                      <w:szCs w:val="20"/>
                      <w:highlight w:val="yellow"/>
                    </w:rPr>
                    <w:t xml:space="preserve"> UVT</w:t>
                  </w:r>
                </w:p>
                <w:p w:rsidR="00646E92" w:rsidRPr="00646E92" w:rsidRDefault="00646E92" w:rsidP="00646E92">
                  <w:pPr>
                    <w:pStyle w:val="NormalWeb"/>
                    <w:spacing w:before="0" w:beforeAutospacing="0" w:after="0" w:afterAutospacing="0"/>
                    <w:jc w:val="both"/>
                    <w:rPr>
                      <w:rFonts w:ascii="Cambria" w:hAnsi="Cambria" w:cstheme="minorHAnsi"/>
                      <w:sz w:val="20"/>
                      <w:szCs w:val="20"/>
                    </w:rPr>
                  </w:pPr>
                </w:p>
              </w:tc>
            </w:tr>
            <w:tr w:rsidR="00646E92" w:rsidRPr="00646E92" w:rsidTr="009708F4">
              <w:tc>
                <w:tcPr>
                  <w:tcW w:w="1014" w:type="dxa"/>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lastRenderedPageBreak/>
                    <w:t>&gt;31.000</w:t>
                  </w:r>
                </w:p>
              </w:tc>
              <w:tc>
                <w:tcPr>
                  <w:tcW w:w="1015" w:type="dxa"/>
                </w:tcPr>
                <w:p w:rsidR="00646E92" w:rsidRPr="00646E92" w:rsidRDefault="00646E92" w:rsidP="00646E92">
                  <w:pPr>
                    <w:jc w:val="center"/>
                    <w:rPr>
                      <w:rFonts w:ascii="Cambria" w:hAnsi="Cambria" w:cs="Arial"/>
                      <w:color w:val="000000" w:themeColor="text1"/>
                      <w:sz w:val="20"/>
                      <w:szCs w:val="20"/>
                    </w:rPr>
                  </w:pPr>
                  <w:r w:rsidRPr="00646E92">
                    <w:rPr>
                      <w:rFonts w:ascii="Cambria" w:hAnsi="Cambria" w:cs="Arial"/>
                      <w:color w:val="000000" w:themeColor="text1"/>
                      <w:sz w:val="20"/>
                      <w:szCs w:val="20"/>
                    </w:rPr>
                    <w:t>En adelante</w:t>
                  </w:r>
                </w:p>
              </w:tc>
              <w:tc>
                <w:tcPr>
                  <w:tcW w:w="1016" w:type="dxa"/>
                </w:tcPr>
                <w:p w:rsidR="00646E92" w:rsidRPr="001F3CB3" w:rsidRDefault="001F3CB3" w:rsidP="00646E92">
                  <w:pPr>
                    <w:pStyle w:val="NormalWeb"/>
                    <w:spacing w:before="0" w:beforeAutospacing="0" w:after="0" w:afterAutospacing="0"/>
                    <w:jc w:val="both"/>
                    <w:rPr>
                      <w:rFonts w:ascii="Cambria" w:hAnsi="Cambria" w:cs="Arial"/>
                      <w:color w:val="000000" w:themeColor="text1"/>
                      <w:sz w:val="20"/>
                      <w:szCs w:val="20"/>
                      <w:highlight w:val="yellow"/>
                    </w:rPr>
                  </w:pPr>
                  <w:r w:rsidRPr="001F3CB3">
                    <w:rPr>
                      <w:rFonts w:ascii="Cambria" w:hAnsi="Cambria" w:cs="Arial"/>
                      <w:color w:val="000000" w:themeColor="text1"/>
                      <w:sz w:val="20"/>
                      <w:szCs w:val="20"/>
                      <w:highlight w:val="yellow"/>
                    </w:rPr>
                    <w:t>41</w:t>
                  </w:r>
                  <w:r w:rsidR="00646E92" w:rsidRPr="001F3CB3">
                    <w:rPr>
                      <w:rFonts w:ascii="Cambria" w:hAnsi="Cambria" w:cs="Arial"/>
                      <w:color w:val="000000" w:themeColor="text1"/>
                      <w:sz w:val="20"/>
                      <w:szCs w:val="20"/>
                      <w:highlight w:val="yellow"/>
                    </w:rPr>
                    <w:t>%</w:t>
                  </w:r>
                </w:p>
              </w:tc>
              <w:tc>
                <w:tcPr>
                  <w:tcW w:w="1143" w:type="dxa"/>
                  <w:vAlign w:val="center"/>
                </w:tcPr>
                <w:p w:rsidR="00646E92" w:rsidRPr="00646E92" w:rsidRDefault="00646E92" w:rsidP="00646E92">
                  <w:pPr>
                    <w:pStyle w:val="NormalWeb"/>
                    <w:spacing w:before="0" w:beforeAutospacing="0" w:after="0" w:afterAutospacing="0"/>
                    <w:jc w:val="both"/>
                    <w:rPr>
                      <w:rFonts w:ascii="Cambria" w:hAnsi="Cambria" w:cs="Arial"/>
                      <w:color w:val="000000" w:themeColor="text1"/>
                      <w:sz w:val="20"/>
                      <w:szCs w:val="20"/>
                    </w:rPr>
                  </w:pPr>
                  <w:r w:rsidRPr="00646E92">
                    <w:rPr>
                      <w:rFonts w:ascii="Cambria" w:hAnsi="Cambria" w:cs="Arial"/>
                      <w:color w:val="000000" w:themeColor="text1"/>
                      <w:sz w:val="20"/>
                      <w:szCs w:val="20"/>
                    </w:rPr>
                    <w:t xml:space="preserve">(Base Gravable en UVT menos </w:t>
                  </w:r>
                  <w:r w:rsidR="001F3CB3">
                    <w:rPr>
                      <w:rFonts w:ascii="Cambria" w:hAnsi="Cambria" w:cs="Arial"/>
                      <w:color w:val="000000" w:themeColor="text1"/>
                      <w:sz w:val="20"/>
                      <w:szCs w:val="20"/>
                    </w:rPr>
                    <w:t>31.000</w:t>
                  </w:r>
                  <w:r w:rsidRPr="00646E92">
                    <w:rPr>
                      <w:rFonts w:ascii="Cambria" w:hAnsi="Cambria" w:cs="Arial"/>
                      <w:color w:val="000000" w:themeColor="text1"/>
                      <w:sz w:val="20"/>
                      <w:szCs w:val="20"/>
                    </w:rPr>
                    <w:t xml:space="preserve"> UVT) x </w:t>
                  </w:r>
                  <w:r w:rsidR="001F3CB3" w:rsidRPr="001F3CB3">
                    <w:rPr>
                      <w:rFonts w:ascii="Cambria" w:hAnsi="Cambria" w:cs="Arial"/>
                      <w:color w:val="000000" w:themeColor="text1"/>
                      <w:sz w:val="20"/>
                      <w:szCs w:val="20"/>
                      <w:highlight w:val="yellow"/>
                    </w:rPr>
                    <w:t>41</w:t>
                  </w:r>
                  <w:r w:rsidRPr="001F3CB3">
                    <w:rPr>
                      <w:rFonts w:ascii="Cambria" w:hAnsi="Cambria" w:cs="Arial"/>
                      <w:color w:val="000000" w:themeColor="text1"/>
                      <w:sz w:val="20"/>
                      <w:szCs w:val="20"/>
                      <w:highlight w:val="yellow"/>
                    </w:rPr>
                    <w:t>%</w:t>
                  </w:r>
                  <w:r w:rsidRPr="00646E92">
                    <w:rPr>
                      <w:rFonts w:ascii="Cambria" w:hAnsi="Cambria" w:cs="Arial"/>
                      <w:color w:val="000000" w:themeColor="text1"/>
                      <w:sz w:val="20"/>
                      <w:szCs w:val="20"/>
                    </w:rPr>
                    <w:t xml:space="preserve"> +  </w:t>
                  </w:r>
                  <w:r w:rsidRPr="001F3CB3">
                    <w:rPr>
                      <w:rFonts w:ascii="Cambria" w:hAnsi="Cambria" w:cs="Arial"/>
                      <w:color w:val="000000" w:themeColor="text1"/>
                      <w:sz w:val="20"/>
                      <w:szCs w:val="20"/>
                      <w:highlight w:val="yellow"/>
                    </w:rPr>
                    <w:t>10.</w:t>
                  </w:r>
                  <w:r w:rsidR="001F3CB3" w:rsidRPr="001F3CB3">
                    <w:rPr>
                      <w:rFonts w:ascii="Cambria" w:hAnsi="Cambria" w:cs="Arial"/>
                      <w:color w:val="000000" w:themeColor="text1"/>
                      <w:sz w:val="20"/>
                      <w:szCs w:val="20"/>
                      <w:highlight w:val="yellow"/>
                    </w:rPr>
                    <w:t>896</w:t>
                  </w:r>
                  <w:r w:rsidRPr="00646E92">
                    <w:rPr>
                      <w:rFonts w:ascii="Cambria" w:hAnsi="Cambria" w:cs="Arial"/>
                      <w:color w:val="000000" w:themeColor="text1"/>
                      <w:sz w:val="20"/>
                      <w:szCs w:val="20"/>
                    </w:rPr>
                    <w:t xml:space="preserve"> UVT</w:t>
                  </w:r>
                </w:p>
              </w:tc>
            </w:tr>
          </w:tbl>
          <w:p w:rsidR="00646E92" w:rsidRPr="00646E92" w:rsidRDefault="00646E92" w:rsidP="00646E92">
            <w:pPr>
              <w:rPr>
                <w:sz w:val="20"/>
                <w:szCs w:val="20"/>
              </w:rPr>
            </w:pPr>
          </w:p>
          <w:p w:rsidR="00646E92" w:rsidRPr="00646E92" w:rsidRDefault="00646E92" w:rsidP="00646E92">
            <w:pPr>
              <w:rPr>
                <w:rFonts w:ascii="Cambria" w:hAnsi="Cambria"/>
                <w:sz w:val="20"/>
                <w:szCs w:val="20"/>
                <w:lang w:val="es-ES"/>
              </w:rPr>
            </w:pPr>
          </w:p>
        </w:tc>
      </w:tr>
      <w:tr w:rsidR="00646E92" w:rsidTr="0059378C">
        <w:tc>
          <w:tcPr>
            <w:tcW w:w="4958" w:type="dxa"/>
          </w:tcPr>
          <w:p w:rsidR="00646E92" w:rsidRDefault="00646E92" w:rsidP="00646E92">
            <w:pPr>
              <w:jc w:val="both"/>
              <w:rPr>
                <w:rFonts w:ascii="Cambria" w:hAnsi="Cambria"/>
                <w:color w:val="454545"/>
                <w:sz w:val="20"/>
                <w:szCs w:val="20"/>
              </w:rPr>
            </w:pPr>
            <w:bookmarkStart w:id="11" w:name="245"/>
            <w:r w:rsidRPr="00A018A0">
              <w:rPr>
                <w:rFonts w:ascii="Cambria" w:hAnsi="Cambria"/>
                <w:b/>
                <w:bCs/>
                <w:sz w:val="20"/>
                <w:szCs w:val="20"/>
              </w:rPr>
              <w:lastRenderedPageBreak/>
              <w:t>Articulo 245. Tarifa especial para dividendos o participaciones recibidos por sociedades y entidades extranjeras y por personas naturales no residentes</w:t>
            </w:r>
            <w:r w:rsidRPr="00A018A0">
              <w:rPr>
                <w:rFonts w:ascii="Cambria" w:hAnsi="Cambria"/>
                <w:sz w:val="20"/>
                <w:szCs w:val="20"/>
              </w:rPr>
              <w:t>.</w:t>
            </w:r>
            <w:bookmarkEnd w:id="11"/>
            <w:r w:rsidRPr="00A018A0">
              <w:rPr>
                <w:rFonts w:ascii="Cambria" w:hAnsi="Cambria"/>
                <w:color w:val="343536"/>
                <w:sz w:val="20"/>
                <w:szCs w:val="20"/>
              </w:rPr>
              <w:t xml:space="preserve">  La tarifa del impuesto sobre la renta correspondiente a dividendos o participaciones percibidos por sociedades u otras entidades extranjeras sin domicilio principal en el país, por personas naturales sin residencia en Colombia y por sucesiones ilíquidas de causantes que no eran residentes en Colombia será del </w:t>
            </w:r>
            <w:r w:rsidRPr="006C524F">
              <w:rPr>
                <w:rFonts w:ascii="Cambria" w:hAnsi="Cambria"/>
                <w:color w:val="343536"/>
                <w:sz w:val="20"/>
                <w:szCs w:val="20"/>
                <w:highlight w:val="yellow"/>
              </w:rPr>
              <w:t>veinte</w:t>
            </w:r>
            <w:r w:rsidRPr="00A018A0">
              <w:rPr>
                <w:rFonts w:ascii="Cambria" w:hAnsi="Cambria"/>
                <w:color w:val="343536"/>
                <w:sz w:val="20"/>
                <w:szCs w:val="20"/>
              </w:rPr>
              <w:t xml:space="preserve"> por ciento (</w:t>
            </w:r>
            <w:r w:rsidRPr="006C524F">
              <w:rPr>
                <w:rFonts w:ascii="Cambria" w:hAnsi="Cambria"/>
                <w:color w:val="343536"/>
                <w:sz w:val="20"/>
                <w:szCs w:val="20"/>
                <w:highlight w:val="yellow"/>
              </w:rPr>
              <w:t>20%).</w:t>
            </w:r>
          </w:p>
          <w:p w:rsidR="00646E92" w:rsidRDefault="00646E92" w:rsidP="00646E92">
            <w:pPr>
              <w:jc w:val="both"/>
              <w:rPr>
                <w:rFonts w:ascii="Cambria" w:hAnsi="Cambria"/>
                <w:color w:val="454545"/>
                <w:sz w:val="20"/>
                <w:szCs w:val="20"/>
              </w:rPr>
            </w:pPr>
            <w:r w:rsidRPr="00A018A0">
              <w:rPr>
                <w:rFonts w:ascii="Cambria" w:hAnsi="Cambria"/>
                <w:color w:val="454545"/>
                <w:sz w:val="20"/>
                <w:szCs w:val="20"/>
              </w:rPr>
              <w:t xml:space="preserve"> </w:t>
            </w:r>
          </w:p>
          <w:p w:rsidR="00646E92" w:rsidRDefault="00646E92" w:rsidP="00646E92">
            <w:pPr>
              <w:jc w:val="both"/>
              <w:rPr>
                <w:rFonts w:ascii="Cambria" w:hAnsi="Cambria"/>
                <w:color w:val="454545"/>
                <w:sz w:val="20"/>
                <w:szCs w:val="20"/>
              </w:rPr>
            </w:pPr>
          </w:p>
          <w:p w:rsidR="00646E92" w:rsidRPr="00A018A0" w:rsidRDefault="00646E92" w:rsidP="00646E92">
            <w:pPr>
              <w:jc w:val="both"/>
              <w:rPr>
                <w:rFonts w:ascii="Cambria" w:hAnsi="Cambria"/>
                <w:color w:val="454545"/>
                <w:sz w:val="20"/>
                <w:szCs w:val="20"/>
              </w:rPr>
            </w:pPr>
          </w:p>
          <w:p w:rsidR="00646E92" w:rsidRDefault="00646E92" w:rsidP="00646E92">
            <w:pPr>
              <w:jc w:val="both"/>
              <w:rPr>
                <w:rFonts w:ascii="Cambria" w:hAnsi="Cambria"/>
                <w:color w:val="343536"/>
                <w:sz w:val="20"/>
                <w:szCs w:val="20"/>
              </w:rPr>
            </w:pPr>
            <w:r w:rsidRPr="00A018A0">
              <w:rPr>
                <w:rStyle w:val="baj"/>
                <w:rFonts w:ascii="Cambria" w:hAnsi="Cambria"/>
                <w:b/>
                <w:bCs/>
                <w:color w:val="343536"/>
                <w:spacing w:val="2"/>
                <w:sz w:val="20"/>
                <w:szCs w:val="20"/>
              </w:rPr>
              <w:t>PARÁGRAFO 1o. </w:t>
            </w:r>
            <w:r w:rsidRPr="00A018A0">
              <w:rPr>
                <w:rFonts w:ascii="Cambria" w:hAnsi="Cambria"/>
                <w:color w:val="343536"/>
                <w:sz w:val="20"/>
                <w:szCs w:val="20"/>
              </w:rPr>
              <w:t>Cuando los dividendos o participaciones correspondan a utilidades, que de haberse distribuido a una sociedad nacional hubieren estado gravadas, conforme a las reglas de los artículos </w:t>
            </w:r>
            <w:hyperlink r:id="rId33" w:anchor="48" w:history="1">
              <w:r w:rsidRPr="00A018A0">
                <w:rPr>
                  <w:rStyle w:val="Hipervnculo"/>
                  <w:rFonts w:ascii="Cambria" w:hAnsi="Cambria"/>
                  <w:color w:val="00A9E0"/>
                  <w:spacing w:val="2"/>
                  <w:sz w:val="20"/>
                  <w:szCs w:val="20"/>
                </w:rPr>
                <w:t>48</w:t>
              </w:r>
            </w:hyperlink>
            <w:r w:rsidRPr="00A018A0">
              <w:rPr>
                <w:rFonts w:ascii="Cambria" w:hAnsi="Cambria"/>
                <w:color w:val="343536"/>
                <w:sz w:val="20"/>
                <w:szCs w:val="20"/>
              </w:rPr>
              <w:t> y </w:t>
            </w:r>
            <w:hyperlink r:id="rId34" w:anchor="49" w:history="1">
              <w:r w:rsidRPr="00A018A0">
                <w:rPr>
                  <w:rStyle w:val="Hipervnculo"/>
                  <w:rFonts w:ascii="Cambria" w:hAnsi="Cambria"/>
                  <w:color w:val="00A9E0"/>
                  <w:spacing w:val="2"/>
                  <w:sz w:val="20"/>
                  <w:szCs w:val="20"/>
                </w:rPr>
                <w:t>49</w:t>
              </w:r>
            </w:hyperlink>
            <w:r w:rsidRPr="00A018A0">
              <w:rPr>
                <w:rFonts w:ascii="Cambria" w:hAnsi="Cambria"/>
                <w:color w:val="343536"/>
                <w:sz w:val="20"/>
                <w:szCs w:val="20"/>
              </w:rPr>
              <w:t> del Estatuto Tributario estarán sometidos a la tarifa señalada en el artículo </w:t>
            </w:r>
            <w:hyperlink r:id="rId35" w:anchor="240" w:history="1">
              <w:r w:rsidRPr="00A018A0">
                <w:rPr>
                  <w:rStyle w:val="Hipervnculo"/>
                  <w:rFonts w:ascii="Cambria" w:hAnsi="Cambria"/>
                  <w:color w:val="00A9E0"/>
                  <w:spacing w:val="2"/>
                  <w:sz w:val="20"/>
                  <w:szCs w:val="20"/>
                </w:rPr>
                <w:t>240</w:t>
              </w:r>
            </w:hyperlink>
            <w:r w:rsidRPr="00A018A0">
              <w:rPr>
                <w:rFonts w:ascii="Cambria" w:hAnsi="Cambria"/>
                <w:color w:val="343536"/>
                <w:sz w:val="20"/>
                <w:szCs w:val="20"/>
              </w:rPr>
              <w:t> del Estatuto Tributario, según el periodo gravable en que se paguen o abonen en cuenta, caso en el cual el impuesto señalado en el inciso anterior, se aplicará una vez disminuido este impuesto.</w:t>
            </w:r>
          </w:p>
          <w:p w:rsidR="00646E92" w:rsidRPr="00A018A0" w:rsidRDefault="00646E92" w:rsidP="00646E92">
            <w:pPr>
              <w:jc w:val="both"/>
              <w:rPr>
                <w:rFonts w:ascii="Cambria" w:hAnsi="Cambria"/>
                <w:color w:val="343536"/>
                <w:sz w:val="20"/>
                <w:szCs w:val="20"/>
              </w:rPr>
            </w:pPr>
          </w:p>
          <w:p w:rsidR="00646E92" w:rsidRPr="00A018A0" w:rsidRDefault="00646E92" w:rsidP="00646E92">
            <w:pPr>
              <w:jc w:val="both"/>
              <w:rPr>
                <w:rFonts w:ascii="Cambria" w:hAnsi="Cambria"/>
                <w:color w:val="343536"/>
                <w:sz w:val="20"/>
                <w:szCs w:val="20"/>
              </w:rPr>
            </w:pPr>
            <w:r w:rsidRPr="00A018A0">
              <w:rPr>
                <w:rStyle w:val="baj"/>
                <w:rFonts w:ascii="Cambria" w:hAnsi="Cambria"/>
                <w:b/>
                <w:bCs/>
                <w:color w:val="343536"/>
                <w:spacing w:val="2"/>
                <w:sz w:val="20"/>
                <w:szCs w:val="20"/>
              </w:rPr>
              <w:t>PARÁGRAFO 2o.</w:t>
            </w:r>
            <w:r w:rsidRPr="00A018A0">
              <w:rPr>
                <w:rFonts w:ascii="Cambria" w:hAnsi="Cambria"/>
                <w:color w:val="343536"/>
                <w:sz w:val="20"/>
                <w:szCs w:val="20"/>
              </w:rPr>
              <w:t> El impuesto de que trata este artículo será retenido en la fuente, sobre el valor bruto de los pagos o abonos en cuenta por concepto de dividendos o participaciones.</w:t>
            </w:r>
          </w:p>
          <w:p w:rsidR="00646E92" w:rsidRPr="00A018A0" w:rsidRDefault="00646E92" w:rsidP="00646E92">
            <w:pPr>
              <w:jc w:val="both"/>
              <w:rPr>
                <w:rFonts w:ascii="Cambria" w:hAnsi="Cambria" w:cstheme="minorHAnsi"/>
                <w:b/>
                <w:color w:val="000000" w:themeColor="text1"/>
                <w:sz w:val="20"/>
                <w:szCs w:val="20"/>
                <w:lang w:eastAsia="es-CO"/>
              </w:rPr>
            </w:pPr>
          </w:p>
        </w:tc>
        <w:tc>
          <w:tcPr>
            <w:tcW w:w="4865" w:type="dxa"/>
          </w:tcPr>
          <w:p w:rsidR="00646E92" w:rsidRDefault="00646E92" w:rsidP="00646E92">
            <w:pPr>
              <w:jc w:val="both"/>
              <w:rPr>
                <w:rFonts w:ascii="Cambria" w:hAnsi="Cambria"/>
                <w:color w:val="454545"/>
                <w:sz w:val="20"/>
                <w:szCs w:val="20"/>
              </w:rPr>
            </w:pPr>
            <w:r w:rsidRPr="00A018A0">
              <w:rPr>
                <w:rFonts w:ascii="Cambria" w:hAnsi="Cambria"/>
                <w:b/>
                <w:bCs/>
                <w:sz w:val="20"/>
                <w:szCs w:val="20"/>
              </w:rPr>
              <w:t>Articulo 245. Tarifa especial para dividendos o participaciones recibidos por sociedades y entidades extranjeras y por personas naturales no residentes</w:t>
            </w:r>
            <w:r>
              <w:rPr>
                <w:rFonts w:ascii="Cambria" w:hAnsi="Cambria"/>
                <w:b/>
                <w:bCs/>
                <w:sz w:val="20"/>
                <w:szCs w:val="20"/>
              </w:rPr>
              <w:t xml:space="preserve"> (</w:t>
            </w:r>
            <w:r w:rsidRPr="006C524F">
              <w:rPr>
                <w:rFonts w:ascii="Cambria" w:hAnsi="Cambria"/>
                <w:b/>
                <w:bCs/>
                <w:color w:val="FF0000"/>
                <w:sz w:val="20"/>
                <w:szCs w:val="20"/>
              </w:rPr>
              <w:t xml:space="preserve">modificado con art. 16 </w:t>
            </w:r>
            <w:r w:rsidR="00FB60A2">
              <w:rPr>
                <w:rFonts w:ascii="Cambria" w:hAnsi="Cambria"/>
                <w:b/>
                <w:bCs/>
                <w:color w:val="FF0000"/>
                <w:sz w:val="20"/>
                <w:szCs w:val="20"/>
              </w:rPr>
              <w:t>proyecto de Ley de septiembre de 2025</w:t>
            </w:r>
            <w:r>
              <w:rPr>
                <w:rFonts w:ascii="Cambria" w:hAnsi="Cambria"/>
                <w:b/>
                <w:bCs/>
                <w:sz w:val="20"/>
                <w:szCs w:val="20"/>
              </w:rPr>
              <w:t>)</w:t>
            </w:r>
            <w:r w:rsidRPr="00A018A0">
              <w:rPr>
                <w:rFonts w:ascii="Cambria" w:hAnsi="Cambria"/>
                <w:sz w:val="20"/>
                <w:szCs w:val="20"/>
              </w:rPr>
              <w:t>.</w:t>
            </w:r>
            <w:r w:rsidRPr="00A018A0">
              <w:rPr>
                <w:rFonts w:ascii="Cambria" w:hAnsi="Cambria"/>
                <w:color w:val="343536"/>
                <w:sz w:val="20"/>
                <w:szCs w:val="20"/>
              </w:rPr>
              <w:t xml:space="preserve">  La tarifa del impuesto sobre la renta correspondiente a dividendos o participaciones percibidos por sociedades u otras entidades extranjeras sin domicilio principal en el país, por personas naturales sin residencia en Colombia y por sucesiones ilíquidas de causantes que no eran residentes en Colombia será del </w:t>
            </w:r>
            <w:r w:rsidRPr="006C524F">
              <w:rPr>
                <w:rFonts w:ascii="Cambria" w:hAnsi="Cambria"/>
                <w:color w:val="343536"/>
                <w:sz w:val="20"/>
                <w:szCs w:val="20"/>
                <w:highlight w:val="yellow"/>
              </w:rPr>
              <w:t>treinta</w:t>
            </w:r>
            <w:r w:rsidRPr="00A018A0">
              <w:rPr>
                <w:rFonts w:ascii="Cambria" w:hAnsi="Cambria"/>
                <w:color w:val="343536"/>
                <w:sz w:val="20"/>
                <w:szCs w:val="20"/>
              </w:rPr>
              <w:t xml:space="preserve"> por ciento (</w:t>
            </w:r>
            <w:r w:rsidRPr="006C524F">
              <w:rPr>
                <w:rFonts w:ascii="Cambria" w:hAnsi="Cambria"/>
                <w:color w:val="343536"/>
                <w:sz w:val="20"/>
                <w:szCs w:val="20"/>
                <w:highlight w:val="yellow"/>
              </w:rPr>
              <w:t>30%).</w:t>
            </w:r>
          </w:p>
          <w:p w:rsidR="00646E92" w:rsidRPr="00A018A0" w:rsidRDefault="00646E92" w:rsidP="00646E92">
            <w:pPr>
              <w:jc w:val="both"/>
              <w:rPr>
                <w:rFonts w:ascii="Cambria" w:hAnsi="Cambria"/>
                <w:color w:val="454545"/>
                <w:sz w:val="20"/>
                <w:szCs w:val="20"/>
              </w:rPr>
            </w:pPr>
            <w:r w:rsidRPr="00A018A0">
              <w:rPr>
                <w:rFonts w:ascii="Cambria" w:hAnsi="Cambria"/>
                <w:color w:val="454545"/>
                <w:sz w:val="20"/>
                <w:szCs w:val="20"/>
              </w:rPr>
              <w:t xml:space="preserve"> </w:t>
            </w:r>
          </w:p>
          <w:p w:rsidR="00646E92" w:rsidRDefault="00646E92" w:rsidP="00646E92">
            <w:pPr>
              <w:jc w:val="both"/>
              <w:rPr>
                <w:rFonts w:ascii="Cambria" w:hAnsi="Cambria"/>
                <w:color w:val="343536"/>
                <w:sz w:val="20"/>
                <w:szCs w:val="20"/>
              </w:rPr>
            </w:pPr>
            <w:r w:rsidRPr="00A018A0">
              <w:rPr>
                <w:rStyle w:val="baj"/>
                <w:rFonts w:ascii="Cambria" w:hAnsi="Cambria"/>
                <w:b/>
                <w:bCs/>
                <w:color w:val="343536"/>
                <w:spacing w:val="2"/>
                <w:sz w:val="20"/>
                <w:szCs w:val="20"/>
              </w:rPr>
              <w:t>PARÁGRAFO 1o. </w:t>
            </w:r>
            <w:r w:rsidRPr="00A018A0">
              <w:rPr>
                <w:rFonts w:ascii="Cambria" w:hAnsi="Cambria"/>
                <w:color w:val="343536"/>
                <w:sz w:val="20"/>
                <w:szCs w:val="20"/>
              </w:rPr>
              <w:t>Cuando los dividendos o participaciones correspondan a utilidades, que de haberse distribuido a una sociedad nacional hubieren estado gravadas, conforme a las reglas de los artículos </w:t>
            </w:r>
            <w:hyperlink r:id="rId36" w:anchor="48" w:history="1">
              <w:r w:rsidRPr="00A018A0">
                <w:rPr>
                  <w:rStyle w:val="Hipervnculo"/>
                  <w:rFonts w:ascii="Cambria" w:hAnsi="Cambria"/>
                  <w:color w:val="00A9E0"/>
                  <w:spacing w:val="2"/>
                  <w:sz w:val="20"/>
                  <w:szCs w:val="20"/>
                </w:rPr>
                <w:t>48</w:t>
              </w:r>
            </w:hyperlink>
            <w:r w:rsidRPr="00A018A0">
              <w:rPr>
                <w:rFonts w:ascii="Cambria" w:hAnsi="Cambria"/>
                <w:color w:val="343536"/>
                <w:sz w:val="20"/>
                <w:szCs w:val="20"/>
              </w:rPr>
              <w:t> y </w:t>
            </w:r>
            <w:hyperlink r:id="rId37" w:anchor="49" w:history="1">
              <w:r w:rsidRPr="00A018A0">
                <w:rPr>
                  <w:rStyle w:val="Hipervnculo"/>
                  <w:rFonts w:ascii="Cambria" w:hAnsi="Cambria"/>
                  <w:color w:val="00A9E0"/>
                  <w:spacing w:val="2"/>
                  <w:sz w:val="20"/>
                  <w:szCs w:val="20"/>
                </w:rPr>
                <w:t>49</w:t>
              </w:r>
            </w:hyperlink>
            <w:r w:rsidRPr="00A018A0">
              <w:rPr>
                <w:rFonts w:ascii="Cambria" w:hAnsi="Cambria"/>
                <w:color w:val="343536"/>
                <w:sz w:val="20"/>
                <w:szCs w:val="20"/>
              </w:rPr>
              <w:t> del Estatuto Tributario estarán sometidos a la tarifa señalada en el artículo </w:t>
            </w:r>
            <w:hyperlink r:id="rId38" w:anchor="240" w:history="1">
              <w:r w:rsidRPr="00A018A0">
                <w:rPr>
                  <w:rStyle w:val="Hipervnculo"/>
                  <w:rFonts w:ascii="Cambria" w:hAnsi="Cambria"/>
                  <w:color w:val="00A9E0"/>
                  <w:spacing w:val="2"/>
                  <w:sz w:val="20"/>
                  <w:szCs w:val="20"/>
                </w:rPr>
                <w:t>240</w:t>
              </w:r>
            </w:hyperlink>
            <w:r w:rsidRPr="00A018A0">
              <w:rPr>
                <w:rFonts w:ascii="Cambria" w:hAnsi="Cambria"/>
                <w:color w:val="343536"/>
                <w:sz w:val="20"/>
                <w:szCs w:val="20"/>
              </w:rPr>
              <w:t> del Estatuto Tributario, según el periodo gravable en que se paguen o abonen en cuenta, caso en el cual el impuesto señalado en el inciso anterior, se aplicará una vez disminuido este impuesto.</w:t>
            </w:r>
          </w:p>
          <w:p w:rsidR="00646E92" w:rsidRPr="00A018A0" w:rsidRDefault="00646E92" w:rsidP="00646E92">
            <w:pPr>
              <w:jc w:val="both"/>
              <w:rPr>
                <w:rFonts w:ascii="Cambria" w:hAnsi="Cambria"/>
                <w:color w:val="343536"/>
                <w:sz w:val="20"/>
                <w:szCs w:val="20"/>
              </w:rPr>
            </w:pPr>
          </w:p>
          <w:p w:rsidR="00646E92" w:rsidRPr="00A018A0" w:rsidRDefault="00646E92" w:rsidP="00646E92">
            <w:pPr>
              <w:jc w:val="both"/>
              <w:rPr>
                <w:rFonts w:ascii="Cambria" w:hAnsi="Cambria"/>
                <w:color w:val="343536"/>
                <w:sz w:val="20"/>
                <w:szCs w:val="20"/>
              </w:rPr>
            </w:pPr>
            <w:r w:rsidRPr="00A018A0">
              <w:rPr>
                <w:rStyle w:val="baj"/>
                <w:rFonts w:ascii="Cambria" w:hAnsi="Cambria"/>
                <w:b/>
                <w:bCs/>
                <w:color w:val="343536"/>
                <w:spacing w:val="2"/>
                <w:sz w:val="20"/>
                <w:szCs w:val="20"/>
              </w:rPr>
              <w:t>PARÁGRAFO 2o.</w:t>
            </w:r>
            <w:r w:rsidRPr="00A018A0">
              <w:rPr>
                <w:rFonts w:ascii="Cambria" w:hAnsi="Cambria"/>
                <w:color w:val="343536"/>
                <w:sz w:val="20"/>
                <w:szCs w:val="20"/>
              </w:rPr>
              <w:t> El impuesto de que trata este artículo será retenido en la fuente, sobre el valor bruto de los pagos o abonos en cuenta por concepto de dividendos o participaciones.</w:t>
            </w:r>
          </w:p>
          <w:p w:rsidR="00646E92" w:rsidRPr="00A018A0" w:rsidRDefault="00646E92" w:rsidP="00646E92">
            <w:pPr>
              <w:jc w:val="both"/>
              <w:rPr>
                <w:rFonts w:ascii="Cambria" w:hAnsi="Cambria" w:cstheme="minorHAnsi"/>
                <w:b/>
                <w:color w:val="000000" w:themeColor="text1"/>
                <w:sz w:val="20"/>
                <w:szCs w:val="20"/>
                <w:lang w:eastAsia="es-CO"/>
              </w:rPr>
            </w:pPr>
          </w:p>
        </w:tc>
      </w:tr>
      <w:tr w:rsidR="00646E92" w:rsidTr="0059378C">
        <w:tc>
          <w:tcPr>
            <w:tcW w:w="4958" w:type="dxa"/>
          </w:tcPr>
          <w:p w:rsidR="00646E92" w:rsidRPr="00A018A0" w:rsidRDefault="00646E92" w:rsidP="00646E92">
            <w:pPr>
              <w:jc w:val="both"/>
              <w:rPr>
                <w:rFonts w:ascii="Cambria" w:hAnsi="Cambria"/>
                <w:color w:val="000000" w:themeColor="text1"/>
                <w:sz w:val="20"/>
                <w:szCs w:val="20"/>
              </w:rPr>
            </w:pPr>
            <w:bookmarkStart w:id="12" w:name="246"/>
            <w:r w:rsidRPr="006C524F">
              <w:rPr>
                <w:rFonts w:ascii="Cambria" w:hAnsi="Cambria"/>
                <w:b/>
                <w:bCs/>
                <w:color w:val="000000" w:themeColor="text1"/>
                <w:sz w:val="20"/>
                <w:szCs w:val="20"/>
              </w:rPr>
              <w:t>Artículo 246. </w:t>
            </w:r>
            <w:r w:rsidRPr="006C524F">
              <w:rPr>
                <w:rStyle w:val="iaj"/>
                <w:rFonts w:ascii="Cambria" w:hAnsi="Cambria"/>
                <w:b/>
                <w:bCs/>
                <w:color w:val="000000" w:themeColor="text1"/>
                <w:spacing w:val="2"/>
                <w:sz w:val="20"/>
                <w:szCs w:val="20"/>
              </w:rPr>
              <w:t>Tarifa especial para dividendos y participaciones recibidos por establecimientos permanentes de sociedades extranjeras</w:t>
            </w:r>
            <w:r w:rsidRPr="00A018A0">
              <w:rPr>
                <w:rFonts w:ascii="Cambria" w:hAnsi="Cambria"/>
                <w:color w:val="000000" w:themeColor="text1"/>
                <w:sz w:val="20"/>
                <w:szCs w:val="20"/>
              </w:rPr>
              <w:t>.</w:t>
            </w:r>
            <w:bookmarkEnd w:id="12"/>
            <w:r w:rsidRPr="00A018A0">
              <w:rPr>
                <w:rFonts w:ascii="Cambria" w:hAnsi="Cambria"/>
                <w:b/>
                <w:bCs/>
                <w:color w:val="000000" w:themeColor="text1"/>
                <w:sz w:val="20"/>
                <w:szCs w:val="20"/>
              </w:rPr>
              <w:t> </w:t>
            </w:r>
            <w:r w:rsidRPr="00A018A0">
              <w:rPr>
                <w:rFonts w:ascii="Cambria" w:hAnsi="Cambria"/>
                <w:color w:val="000000" w:themeColor="text1"/>
                <w:sz w:val="20"/>
                <w:szCs w:val="20"/>
              </w:rPr>
              <w:t xml:space="preserve"> La tarifa del impuesto sobre la renta aplicable a los dividendos y participaciones que se paguen o abonen en cuenta a establecimientos permanentes en Colombia de sociedades extranjeras será del </w:t>
            </w:r>
            <w:r w:rsidRPr="006C524F">
              <w:rPr>
                <w:rFonts w:ascii="Cambria" w:hAnsi="Cambria"/>
                <w:color w:val="000000" w:themeColor="text1"/>
                <w:sz w:val="20"/>
                <w:szCs w:val="20"/>
                <w:highlight w:val="yellow"/>
              </w:rPr>
              <w:t>veinte</w:t>
            </w:r>
            <w:r w:rsidRPr="00A018A0">
              <w:rPr>
                <w:rFonts w:ascii="Cambria" w:hAnsi="Cambria"/>
                <w:color w:val="000000" w:themeColor="text1"/>
                <w:sz w:val="20"/>
                <w:szCs w:val="20"/>
              </w:rPr>
              <w:t xml:space="preserve"> por ciento </w:t>
            </w:r>
            <w:r w:rsidRPr="006C524F">
              <w:rPr>
                <w:rFonts w:ascii="Cambria" w:hAnsi="Cambria"/>
                <w:color w:val="000000" w:themeColor="text1"/>
                <w:sz w:val="20"/>
                <w:szCs w:val="20"/>
                <w:highlight w:val="yellow"/>
              </w:rPr>
              <w:t>(20%),</w:t>
            </w:r>
            <w:r w:rsidRPr="00A018A0">
              <w:rPr>
                <w:rFonts w:ascii="Cambria" w:hAnsi="Cambria"/>
                <w:color w:val="000000" w:themeColor="text1"/>
                <w:sz w:val="20"/>
                <w:szCs w:val="20"/>
              </w:rPr>
              <w:t xml:space="preserve"> cuando provengan de utilidades que hayan sido distribuidas a título de ingreso no constitutivo de renta ni ganancia ocasional.</w:t>
            </w:r>
          </w:p>
          <w:p w:rsidR="00646E92"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t xml:space="preserve"> </w:t>
            </w:r>
          </w:p>
          <w:p w:rsidR="00646E92" w:rsidRDefault="00646E92" w:rsidP="00646E92">
            <w:pPr>
              <w:jc w:val="both"/>
              <w:rPr>
                <w:rFonts w:ascii="Cambria" w:hAnsi="Cambria"/>
                <w:color w:val="000000" w:themeColor="text1"/>
                <w:sz w:val="20"/>
                <w:szCs w:val="20"/>
              </w:rPr>
            </w:pPr>
          </w:p>
          <w:p w:rsidR="00646E92" w:rsidRPr="00A018A0" w:rsidRDefault="00646E92" w:rsidP="00646E92">
            <w:pPr>
              <w:jc w:val="both"/>
              <w:rPr>
                <w:rFonts w:ascii="Cambria" w:hAnsi="Cambria"/>
                <w:color w:val="000000" w:themeColor="text1"/>
                <w:sz w:val="20"/>
                <w:szCs w:val="20"/>
              </w:rPr>
            </w:pPr>
          </w:p>
          <w:p w:rsidR="00646E92" w:rsidRPr="00A018A0"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t>Cuando estos dividendos provengan de utilidades que no sean susceptibles de ser distribuidas a título de ingreso no constitutivo de renta ni ganancia ocasional, estarán gravados a la tarifa señalada en el artículo </w:t>
            </w:r>
            <w:hyperlink r:id="rId39" w:anchor="240" w:history="1">
              <w:r w:rsidRPr="00A018A0">
                <w:rPr>
                  <w:rStyle w:val="Hipervnculo"/>
                  <w:rFonts w:ascii="Cambria" w:hAnsi="Cambria"/>
                  <w:color w:val="000000" w:themeColor="text1"/>
                  <w:spacing w:val="2"/>
                  <w:sz w:val="20"/>
                  <w:szCs w:val="20"/>
                </w:rPr>
                <w:t>240</w:t>
              </w:r>
            </w:hyperlink>
            <w:r w:rsidRPr="00A018A0">
              <w:rPr>
                <w:rFonts w:ascii="Cambria" w:hAnsi="Cambria"/>
                <w:color w:val="000000" w:themeColor="text1"/>
                <w:sz w:val="20"/>
                <w:szCs w:val="20"/>
              </w:rPr>
              <w:t> del Estatuto Tributario, según el periodo gravable en que se paguen o abonen en cuenta, caso en el cual el impuesto señalado en el inciso anterior, se aplicará una vez disminuido este impuesto.</w:t>
            </w:r>
          </w:p>
          <w:p w:rsidR="00646E92" w:rsidRPr="00A018A0" w:rsidRDefault="00646E92" w:rsidP="00646E92">
            <w:pPr>
              <w:jc w:val="both"/>
              <w:rPr>
                <w:rFonts w:ascii="Cambria" w:hAnsi="Cambria"/>
                <w:color w:val="000000" w:themeColor="text1"/>
                <w:sz w:val="20"/>
                <w:szCs w:val="20"/>
              </w:rPr>
            </w:pPr>
          </w:p>
          <w:p w:rsidR="00646E92" w:rsidRPr="00A018A0"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t>En cualquier caso, el impuesto será retenido en la fuente en el momento del pago o abono en cuenta.</w:t>
            </w:r>
          </w:p>
          <w:p w:rsidR="00646E92" w:rsidRPr="00A018A0" w:rsidRDefault="00646E92" w:rsidP="00646E92">
            <w:pPr>
              <w:jc w:val="both"/>
              <w:rPr>
                <w:rFonts w:ascii="Cambria" w:hAnsi="Cambria" w:cstheme="minorHAnsi"/>
                <w:b/>
                <w:color w:val="000000" w:themeColor="text1"/>
                <w:sz w:val="20"/>
                <w:szCs w:val="20"/>
                <w:lang w:eastAsia="es-CO"/>
              </w:rPr>
            </w:pPr>
          </w:p>
        </w:tc>
        <w:tc>
          <w:tcPr>
            <w:tcW w:w="4865" w:type="dxa"/>
          </w:tcPr>
          <w:p w:rsidR="00646E92" w:rsidRPr="00A018A0" w:rsidRDefault="00646E92" w:rsidP="00646E92">
            <w:pPr>
              <w:jc w:val="both"/>
              <w:rPr>
                <w:rFonts w:ascii="Cambria" w:hAnsi="Cambria"/>
                <w:color w:val="000000" w:themeColor="text1"/>
                <w:sz w:val="20"/>
                <w:szCs w:val="20"/>
              </w:rPr>
            </w:pPr>
            <w:r w:rsidRPr="006C524F">
              <w:rPr>
                <w:rFonts w:ascii="Cambria" w:hAnsi="Cambria"/>
                <w:b/>
                <w:bCs/>
                <w:color w:val="000000" w:themeColor="text1"/>
                <w:sz w:val="20"/>
                <w:szCs w:val="20"/>
              </w:rPr>
              <w:lastRenderedPageBreak/>
              <w:t>Artículo 246. </w:t>
            </w:r>
            <w:r w:rsidRPr="006C524F">
              <w:rPr>
                <w:rStyle w:val="iaj"/>
                <w:rFonts w:ascii="Cambria" w:hAnsi="Cambria"/>
                <w:b/>
                <w:bCs/>
                <w:color w:val="000000" w:themeColor="text1"/>
                <w:spacing w:val="2"/>
                <w:sz w:val="20"/>
                <w:szCs w:val="20"/>
              </w:rPr>
              <w:t>Tarifa especial para dividendos y participaciones recibidos por establecimientos permanentes de sociedades extranjeras</w:t>
            </w:r>
            <w:r w:rsidRPr="006C524F">
              <w:rPr>
                <w:rFonts w:ascii="Cambria" w:hAnsi="Cambria"/>
                <w:b/>
                <w:bCs/>
                <w:color w:val="FF0000"/>
                <w:sz w:val="20"/>
                <w:szCs w:val="20"/>
              </w:rPr>
              <w:t xml:space="preserve"> modificado con art. 1</w:t>
            </w:r>
            <w:r>
              <w:rPr>
                <w:rFonts w:ascii="Cambria" w:hAnsi="Cambria"/>
                <w:b/>
                <w:bCs/>
                <w:color w:val="FF0000"/>
                <w:sz w:val="20"/>
                <w:szCs w:val="20"/>
              </w:rPr>
              <w:t>7</w:t>
            </w:r>
            <w:r w:rsidRPr="006C524F">
              <w:rPr>
                <w:rFonts w:ascii="Cambria" w:hAnsi="Cambria"/>
                <w:b/>
                <w:bCs/>
                <w:color w:val="FF0000"/>
                <w:sz w:val="20"/>
                <w:szCs w:val="20"/>
              </w:rPr>
              <w:t xml:space="preserve"> </w:t>
            </w:r>
            <w:r w:rsidR="00FB60A2">
              <w:rPr>
                <w:rFonts w:ascii="Cambria" w:hAnsi="Cambria"/>
                <w:b/>
                <w:bCs/>
                <w:color w:val="FF0000"/>
                <w:sz w:val="20"/>
                <w:szCs w:val="20"/>
              </w:rPr>
              <w:t>proyecto de Ley de septiembre de 2025</w:t>
            </w:r>
            <w:r w:rsidRPr="00A018A0">
              <w:rPr>
                <w:rFonts w:ascii="Cambria" w:hAnsi="Cambria"/>
                <w:color w:val="000000" w:themeColor="text1"/>
                <w:sz w:val="20"/>
                <w:szCs w:val="20"/>
              </w:rPr>
              <w:t>.</w:t>
            </w:r>
            <w:r w:rsidRPr="00A018A0">
              <w:rPr>
                <w:rFonts w:ascii="Cambria" w:hAnsi="Cambria"/>
                <w:b/>
                <w:bCs/>
                <w:color w:val="000000" w:themeColor="text1"/>
                <w:sz w:val="20"/>
                <w:szCs w:val="20"/>
              </w:rPr>
              <w:t> </w:t>
            </w:r>
            <w:r w:rsidRPr="00A018A0">
              <w:rPr>
                <w:rFonts w:ascii="Cambria" w:hAnsi="Cambria"/>
                <w:color w:val="000000" w:themeColor="text1"/>
                <w:sz w:val="20"/>
                <w:szCs w:val="20"/>
              </w:rPr>
              <w:t xml:space="preserve"> La tarifa del impuesto sobre la renta aplicable a los dividendos y participaciones que se paguen o abonen en cuenta a establecimientos permanentes en Colombia de sociedades extranjeras será del </w:t>
            </w:r>
            <w:r w:rsidRPr="006C524F">
              <w:rPr>
                <w:rFonts w:ascii="Cambria" w:hAnsi="Cambria"/>
                <w:color w:val="000000" w:themeColor="text1"/>
                <w:sz w:val="20"/>
                <w:szCs w:val="20"/>
                <w:highlight w:val="yellow"/>
              </w:rPr>
              <w:t>treinta</w:t>
            </w:r>
            <w:r w:rsidRPr="00A018A0">
              <w:rPr>
                <w:rFonts w:ascii="Cambria" w:hAnsi="Cambria"/>
                <w:color w:val="000000" w:themeColor="text1"/>
                <w:sz w:val="20"/>
                <w:szCs w:val="20"/>
              </w:rPr>
              <w:t xml:space="preserve"> por ciento </w:t>
            </w:r>
            <w:r w:rsidRPr="006C524F">
              <w:rPr>
                <w:rFonts w:ascii="Cambria" w:hAnsi="Cambria"/>
                <w:color w:val="000000" w:themeColor="text1"/>
                <w:sz w:val="20"/>
                <w:szCs w:val="20"/>
                <w:highlight w:val="yellow"/>
              </w:rPr>
              <w:t>(30%),</w:t>
            </w:r>
            <w:r w:rsidRPr="00A018A0">
              <w:rPr>
                <w:rFonts w:ascii="Cambria" w:hAnsi="Cambria"/>
                <w:color w:val="000000" w:themeColor="text1"/>
                <w:sz w:val="20"/>
                <w:szCs w:val="20"/>
              </w:rPr>
              <w:t xml:space="preserve"> cuando provengan de utilidades que hayan sido distribuidas a título de ingreso no constitutivo de renta ni ganancia ocasional.</w:t>
            </w:r>
          </w:p>
          <w:p w:rsidR="00646E92" w:rsidRPr="00A018A0"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lastRenderedPageBreak/>
              <w:t xml:space="preserve"> </w:t>
            </w:r>
          </w:p>
          <w:p w:rsidR="00646E92" w:rsidRPr="00A018A0"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t>Cuando estos dividendos provengan de utilidades que no sean susceptibles de ser distribuidas a título de ingreso no constitutivo de renta ni ganancia ocasional, estarán gravados a la tarifa señalada en el artículo </w:t>
            </w:r>
            <w:hyperlink r:id="rId40" w:anchor="240" w:history="1">
              <w:r w:rsidRPr="00A018A0">
                <w:rPr>
                  <w:rStyle w:val="Hipervnculo"/>
                  <w:rFonts w:ascii="Cambria" w:hAnsi="Cambria"/>
                  <w:color w:val="000000" w:themeColor="text1"/>
                  <w:spacing w:val="2"/>
                  <w:sz w:val="20"/>
                  <w:szCs w:val="20"/>
                </w:rPr>
                <w:t>240</w:t>
              </w:r>
            </w:hyperlink>
            <w:r w:rsidRPr="00A018A0">
              <w:rPr>
                <w:rFonts w:ascii="Cambria" w:hAnsi="Cambria"/>
                <w:color w:val="000000" w:themeColor="text1"/>
                <w:sz w:val="20"/>
                <w:szCs w:val="20"/>
              </w:rPr>
              <w:t> del Estatuto Tributario, según el periodo gravable en que se paguen o abonen en cuenta, caso en el cual el impuesto señalado en el inciso anterior, se aplicará una vez disminuido este impuesto.</w:t>
            </w:r>
          </w:p>
          <w:p w:rsidR="00646E92" w:rsidRPr="00A018A0" w:rsidRDefault="00646E92" w:rsidP="00646E92">
            <w:pPr>
              <w:jc w:val="both"/>
              <w:rPr>
                <w:rFonts w:ascii="Cambria" w:hAnsi="Cambria"/>
                <w:color w:val="000000" w:themeColor="text1"/>
                <w:sz w:val="20"/>
                <w:szCs w:val="20"/>
              </w:rPr>
            </w:pPr>
          </w:p>
          <w:p w:rsidR="00646E92" w:rsidRPr="00A018A0" w:rsidRDefault="00646E92" w:rsidP="00646E92">
            <w:pPr>
              <w:jc w:val="both"/>
              <w:rPr>
                <w:rFonts w:ascii="Cambria" w:hAnsi="Cambria"/>
                <w:color w:val="000000" w:themeColor="text1"/>
                <w:sz w:val="20"/>
                <w:szCs w:val="20"/>
              </w:rPr>
            </w:pPr>
            <w:r w:rsidRPr="00A018A0">
              <w:rPr>
                <w:rFonts w:ascii="Cambria" w:hAnsi="Cambria"/>
                <w:color w:val="000000" w:themeColor="text1"/>
                <w:sz w:val="20"/>
                <w:szCs w:val="20"/>
              </w:rPr>
              <w:t>En cualquier caso, el impuesto será retenido en la fuente en el momento del pago o abono en cuenta.</w:t>
            </w:r>
          </w:p>
          <w:p w:rsidR="00646E92" w:rsidRPr="00A018A0" w:rsidRDefault="00646E92" w:rsidP="00646E92">
            <w:pPr>
              <w:jc w:val="both"/>
              <w:rPr>
                <w:rFonts w:ascii="Cambria" w:hAnsi="Cambria" w:cstheme="minorHAnsi"/>
                <w:b/>
                <w:color w:val="000000" w:themeColor="text1"/>
                <w:sz w:val="20"/>
                <w:szCs w:val="20"/>
                <w:lang w:eastAsia="es-CO"/>
              </w:rPr>
            </w:pPr>
          </w:p>
        </w:tc>
      </w:tr>
      <w:tr w:rsidR="008B560A" w:rsidTr="0059378C">
        <w:tc>
          <w:tcPr>
            <w:tcW w:w="4958" w:type="dxa"/>
          </w:tcPr>
          <w:p w:rsidR="008B560A" w:rsidRPr="008B560A" w:rsidRDefault="008B560A" w:rsidP="008B560A">
            <w:pPr>
              <w:jc w:val="both"/>
              <w:rPr>
                <w:rFonts w:ascii="Cambria" w:hAnsi="Cambria"/>
                <w:sz w:val="16"/>
                <w:szCs w:val="16"/>
                <w:highlight w:val="yellow"/>
              </w:rPr>
            </w:pPr>
            <w:r w:rsidRPr="008B560A">
              <w:rPr>
                <w:rFonts w:ascii="Cambria" w:hAnsi="Cambria"/>
                <w:b/>
                <w:sz w:val="16"/>
                <w:szCs w:val="16"/>
                <w:highlight w:val="yellow"/>
              </w:rPr>
              <w:lastRenderedPageBreak/>
              <w:t>Artículo 254-1. Descuento tributario determinado a partir de la renta líquida cedular de dividendos y participaciones de personas naturales residentes y sucesiones ilíquidas de causantes residentes</w:t>
            </w:r>
            <w:r w:rsidRPr="008B560A">
              <w:rPr>
                <w:rFonts w:ascii="Cambria" w:hAnsi="Cambria"/>
                <w:sz w:val="16"/>
                <w:szCs w:val="16"/>
                <w:highlight w:val="yellow"/>
              </w:rPr>
              <w:t>. . Las personas naturales residentes y sucesiones ilíquidas de causantes que al momento de su muerte eran residentes del país, y hayan percibido ingresos por concepto de dividendos y/o participaciones declarados en los términos del artículo 331 del Estatuto Tributario, podrán descontar de su impuesto sobre la renta, en ese mismo periodo, el valor que se determine de conformidad con la siguiente tabla: </w:t>
            </w:r>
          </w:p>
          <w:p w:rsidR="008B560A" w:rsidRPr="008B560A" w:rsidRDefault="008B560A" w:rsidP="008B560A">
            <w:pPr>
              <w:jc w:val="both"/>
              <w:rPr>
                <w:rFonts w:ascii="Cambria" w:hAnsi="Cambria" w:cs="Arial"/>
                <w:color w:val="FF0000"/>
                <w:sz w:val="16"/>
                <w:szCs w:val="16"/>
                <w:highlight w:val="yellow"/>
              </w:rPr>
            </w:pPr>
          </w:p>
          <w:tbl>
            <w:tblPr>
              <w:tblStyle w:val="Tablaconcuadrcula"/>
              <w:tblW w:w="0" w:type="auto"/>
              <w:tblLook w:val="04A0" w:firstRow="1" w:lastRow="0" w:firstColumn="1" w:lastColumn="0" w:noHBand="0" w:noVBand="1"/>
            </w:tblPr>
            <w:tblGrid>
              <w:gridCol w:w="1266"/>
              <w:gridCol w:w="1266"/>
              <w:gridCol w:w="934"/>
              <w:gridCol w:w="1266"/>
            </w:tblGrid>
            <w:tr w:rsidR="008B560A" w:rsidRPr="008B560A" w:rsidTr="009708F4">
              <w:trPr>
                <w:trHeight w:val="232"/>
              </w:trPr>
              <w:tc>
                <w:tcPr>
                  <w:tcW w:w="1139" w:type="dxa"/>
                </w:tcPr>
                <w:p w:rsidR="008B560A" w:rsidRPr="008B560A" w:rsidRDefault="008B560A" w:rsidP="008B560A">
                  <w:pPr>
                    <w:jc w:val="both"/>
                    <w:rPr>
                      <w:rFonts w:ascii="Cambria" w:hAnsi="Cambria" w:cs="Arial"/>
                      <w:color w:val="000000" w:themeColor="text1"/>
                      <w:sz w:val="16"/>
                      <w:szCs w:val="16"/>
                      <w:highlight w:val="yellow"/>
                    </w:rPr>
                  </w:pPr>
                  <w:r w:rsidRPr="008B560A">
                    <w:rPr>
                      <w:rFonts w:ascii="Cambria" w:hAnsi="Cambria" w:cs="Arial"/>
                      <w:color w:val="000000" w:themeColor="text1"/>
                      <w:sz w:val="16"/>
                      <w:szCs w:val="16"/>
                      <w:highlight w:val="yellow"/>
                    </w:rPr>
                    <w:t>Renta líquida cedular de  dividendos y participaciones desde</w:t>
                  </w:r>
                </w:p>
              </w:tc>
              <w:tc>
                <w:tcPr>
                  <w:tcW w:w="1139" w:type="dxa"/>
                </w:tcPr>
                <w:p w:rsidR="008B560A" w:rsidRPr="008B560A" w:rsidRDefault="008B560A" w:rsidP="008B560A">
                  <w:pPr>
                    <w:jc w:val="both"/>
                    <w:rPr>
                      <w:rFonts w:ascii="Cambria" w:hAnsi="Cambria" w:cs="Arial"/>
                      <w:color w:val="000000" w:themeColor="text1"/>
                      <w:sz w:val="16"/>
                      <w:szCs w:val="16"/>
                      <w:highlight w:val="yellow"/>
                    </w:rPr>
                  </w:pPr>
                  <w:r w:rsidRPr="008B560A">
                    <w:rPr>
                      <w:rFonts w:ascii="Cambria" w:hAnsi="Cambria" w:cs="Arial"/>
                      <w:color w:val="000000" w:themeColor="text1"/>
                      <w:sz w:val="16"/>
                      <w:szCs w:val="16"/>
                      <w:highlight w:val="yellow"/>
                    </w:rPr>
                    <w:t>Renta líquida cedular de  dividendos y participaciones hasta</w:t>
                  </w:r>
                </w:p>
              </w:tc>
              <w:tc>
                <w:tcPr>
                  <w:tcW w:w="1140" w:type="dxa"/>
                </w:tcPr>
                <w:p w:rsidR="008B560A" w:rsidRPr="008B560A" w:rsidRDefault="008B560A" w:rsidP="008B560A">
                  <w:pPr>
                    <w:jc w:val="both"/>
                    <w:rPr>
                      <w:rFonts w:ascii="Cambria" w:hAnsi="Cambria" w:cs="Arial"/>
                      <w:color w:val="000000" w:themeColor="text1"/>
                      <w:sz w:val="16"/>
                      <w:szCs w:val="16"/>
                      <w:highlight w:val="yellow"/>
                    </w:rPr>
                  </w:pPr>
                  <w:r w:rsidRPr="008B560A">
                    <w:rPr>
                      <w:rFonts w:ascii="Cambria" w:hAnsi="Cambria" w:cs="Arial"/>
                      <w:color w:val="000000" w:themeColor="text1"/>
                      <w:sz w:val="16"/>
                      <w:szCs w:val="16"/>
                      <w:highlight w:val="yellow"/>
                    </w:rPr>
                    <w:t>Descuento marginal</w:t>
                  </w:r>
                </w:p>
              </w:tc>
              <w:tc>
                <w:tcPr>
                  <w:tcW w:w="1140" w:type="dxa"/>
                </w:tcPr>
                <w:p w:rsidR="008B560A" w:rsidRPr="008B560A" w:rsidRDefault="008B560A" w:rsidP="008B560A">
                  <w:pPr>
                    <w:jc w:val="both"/>
                    <w:rPr>
                      <w:rFonts w:ascii="Cambria" w:hAnsi="Cambria" w:cs="Arial"/>
                      <w:color w:val="000000" w:themeColor="text1"/>
                      <w:sz w:val="16"/>
                      <w:szCs w:val="16"/>
                      <w:highlight w:val="yellow"/>
                    </w:rPr>
                  </w:pPr>
                  <w:r w:rsidRPr="008B560A">
                    <w:rPr>
                      <w:rFonts w:ascii="Cambria" w:hAnsi="Cambria" w:cs="Arial"/>
                      <w:color w:val="000000" w:themeColor="text1"/>
                      <w:sz w:val="16"/>
                      <w:szCs w:val="16"/>
                      <w:highlight w:val="yellow"/>
                    </w:rPr>
                    <w:t>Descuento</w:t>
                  </w:r>
                </w:p>
              </w:tc>
            </w:tr>
            <w:tr w:rsidR="008B560A" w:rsidRPr="008B560A" w:rsidTr="009708F4">
              <w:tc>
                <w:tcPr>
                  <w:tcW w:w="1139"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0</w:t>
                  </w:r>
                </w:p>
              </w:tc>
              <w:tc>
                <w:tcPr>
                  <w:tcW w:w="1139"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1.090</w:t>
                  </w:r>
                </w:p>
              </w:tc>
              <w:tc>
                <w:tcPr>
                  <w:tcW w:w="1140"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0%</w:t>
                  </w:r>
                </w:p>
              </w:tc>
              <w:tc>
                <w:tcPr>
                  <w:tcW w:w="1140"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0%</w:t>
                  </w:r>
                </w:p>
              </w:tc>
            </w:tr>
            <w:tr w:rsidR="008B560A" w:rsidRPr="008B560A" w:rsidTr="009708F4">
              <w:tc>
                <w:tcPr>
                  <w:tcW w:w="1139"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&gt;1.090</w:t>
                  </w:r>
                </w:p>
              </w:tc>
              <w:tc>
                <w:tcPr>
                  <w:tcW w:w="1139"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En adelante</w:t>
                  </w:r>
                </w:p>
              </w:tc>
              <w:tc>
                <w:tcPr>
                  <w:tcW w:w="1140" w:type="dxa"/>
                </w:tcPr>
                <w:p w:rsidR="008B560A" w:rsidRPr="008B560A" w:rsidRDefault="008B560A" w:rsidP="008B560A">
                  <w:pPr>
                    <w:jc w:val="both"/>
                    <w:rPr>
                      <w:rFonts w:ascii="Cambria" w:hAnsi="Cambria" w:cs="Arial"/>
                      <w:color w:val="FF0000"/>
                      <w:sz w:val="16"/>
                      <w:szCs w:val="16"/>
                      <w:highlight w:val="yellow"/>
                    </w:rPr>
                  </w:pPr>
                  <w:r w:rsidRPr="008B560A">
                    <w:rPr>
                      <w:rFonts w:ascii="Cambria" w:hAnsi="Cambria"/>
                      <w:sz w:val="16"/>
                      <w:szCs w:val="16"/>
                      <w:highlight w:val="yellow"/>
                    </w:rPr>
                    <w:t>19%</w:t>
                  </w:r>
                </w:p>
              </w:tc>
              <w:tc>
                <w:tcPr>
                  <w:tcW w:w="1140" w:type="dxa"/>
                </w:tcPr>
                <w:p w:rsidR="008B560A" w:rsidRPr="008B560A" w:rsidRDefault="008B560A" w:rsidP="008B560A">
                  <w:pPr>
                    <w:jc w:val="both"/>
                    <w:rPr>
                      <w:rFonts w:ascii="Cambria" w:hAnsi="Cambria"/>
                      <w:color w:val="FF0000"/>
                      <w:sz w:val="16"/>
                      <w:szCs w:val="16"/>
                      <w:highlight w:val="yellow"/>
                    </w:rPr>
                  </w:pPr>
                  <w:r w:rsidRPr="008B560A">
                    <w:rPr>
                      <w:rFonts w:ascii="Cambria" w:hAnsi="Cambria"/>
                      <w:sz w:val="16"/>
                      <w:szCs w:val="16"/>
                      <w:highlight w:val="yellow"/>
                    </w:rPr>
                    <w:t>(Renta líquida cedular de dividendos y participaciones en UVT menos 1.090 UVT) x 19%</w:t>
                  </w:r>
                </w:p>
              </w:tc>
            </w:tr>
          </w:tbl>
          <w:p w:rsidR="008B560A" w:rsidRPr="008B560A" w:rsidRDefault="008B560A" w:rsidP="008B560A">
            <w:pPr>
              <w:jc w:val="both"/>
              <w:rPr>
                <w:rFonts w:ascii="Cambria" w:hAnsi="Cambria" w:cs="Arial"/>
                <w:color w:val="FF0000"/>
                <w:sz w:val="16"/>
                <w:szCs w:val="16"/>
                <w:highlight w:val="yellow"/>
              </w:rPr>
            </w:pPr>
          </w:p>
          <w:p w:rsidR="008B560A" w:rsidRPr="008B560A" w:rsidRDefault="008B560A" w:rsidP="008B560A">
            <w:pPr>
              <w:jc w:val="both"/>
              <w:rPr>
                <w:rFonts w:ascii="Cambria" w:hAnsi="Cambria" w:cs="Arial"/>
                <w:color w:val="FF0000"/>
                <w:sz w:val="16"/>
                <w:szCs w:val="16"/>
                <w:highlight w:val="yellow"/>
              </w:rPr>
            </w:pPr>
          </w:p>
        </w:tc>
        <w:tc>
          <w:tcPr>
            <w:tcW w:w="4865" w:type="dxa"/>
          </w:tcPr>
          <w:p w:rsidR="008B560A" w:rsidRPr="006C524F" w:rsidRDefault="008B560A" w:rsidP="008B560A">
            <w:pPr>
              <w:jc w:val="both"/>
              <w:rPr>
                <w:rFonts w:ascii="Cambria" w:hAnsi="Cambria"/>
                <w:color w:val="000000" w:themeColor="text1"/>
                <w:sz w:val="20"/>
                <w:szCs w:val="20"/>
              </w:rPr>
            </w:pPr>
            <w:r w:rsidRPr="008B560A">
              <w:rPr>
                <w:rFonts w:ascii="Cambria" w:hAnsi="Cambria"/>
                <w:color w:val="FF0000"/>
                <w:sz w:val="20"/>
                <w:szCs w:val="20"/>
              </w:rPr>
              <w:t xml:space="preserve">Derogado con artículo 95 del proyecto de </w:t>
            </w:r>
            <w:r w:rsidR="00FB60A2">
              <w:rPr>
                <w:rFonts w:ascii="Cambria" w:hAnsi="Cambria"/>
                <w:color w:val="FF0000"/>
                <w:sz w:val="20"/>
                <w:szCs w:val="20"/>
              </w:rPr>
              <w:t>Ley de septiembre de 2025</w:t>
            </w:r>
          </w:p>
        </w:tc>
      </w:tr>
      <w:tr w:rsidR="00856652" w:rsidTr="0059378C">
        <w:tc>
          <w:tcPr>
            <w:tcW w:w="4958" w:type="dxa"/>
          </w:tcPr>
          <w:p w:rsidR="00856652" w:rsidRDefault="00856652" w:rsidP="00856652">
            <w:pPr>
              <w:jc w:val="both"/>
              <w:rPr>
                <w:rFonts w:ascii="Cambria" w:hAnsi="Cambria"/>
                <w:sz w:val="20"/>
                <w:szCs w:val="20"/>
                <w:shd w:val="clear" w:color="auto" w:fill="FFFFFF"/>
              </w:rPr>
            </w:pPr>
            <w:bookmarkStart w:id="13" w:name="260-8"/>
            <w:r w:rsidRPr="00856652">
              <w:rPr>
                <w:rFonts w:ascii="Cambria" w:hAnsi="Cambria"/>
                <w:b/>
                <w:bCs/>
                <w:color w:val="000000" w:themeColor="text1"/>
                <w:sz w:val="20"/>
                <w:szCs w:val="20"/>
                <w:shd w:val="clear" w:color="auto" w:fill="FFFFFF"/>
              </w:rPr>
              <w:t>Artículo 260-8. </w:t>
            </w:r>
            <w:r w:rsidRPr="00856652">
              <w:rPr>
                <w:rStyle w:val="iaj"/>
                <w:rFonts w:ascii="Cambria" w:hAnsi="Cambria"/>
                <w:b/>
                <w:bCs/>
                <w:color w:val="000000" w:themeColor="text1"/>
                <w:spacing w:val="2"/>
                <w:sz w:val="20"/>
                <w:szCs w:val="20"/>
                <w:shd w:val="clear" w:color="auto" w:fill="FFFFFF"/>
              </w:rPr>
              <w:t>Ingresos, costos y deducciones.</w:t>
            </w:r>
            <w:bookmarkEnd w:id="13"/>
            <w:r w:rsidRPr="00856652">
              <w:rPr>
                <w:rFonts w:ascii="Cambria" w:hAnsi="Cambria"/>
                <w:b/>
                <w:bCs/>
                <w:color w:val="000000" w:themeColor="text1"/>
                <w:sz w:val="20"/>
                <w:szCs w:val="20"/>
                <w:shd w:val="clear" w:color="auto" w:fill="FFFFFF"/>
              </w:rPr>
              <w:t> </w:t>
            </w:r>
            <w:r w:rsidRPr="00856652">
              <w:rPr>
                <w:rFonts w:ascii="Cambria" w:hAnsi="Cambria"/>
                <w:color w:val="000000" w:themeColor="text1"/>
                <w:sz w:val="20"/>
                <w:szCs w:val="20"/>
                <w:shd w:val="clear" w:color="auto" w:fill="FFFFFF"/>
              </w:rPr>
              <w:t xml:space="preserve"> </w:t>
            </w:r>
            <w:r w:rsidRPr="00856652">
              <w:rPr>
                <w:rFonts w:ascii="Cambria" w:hAnsi="Cambria"/>
                <w:sz w:val="20"/>
                <w:szCs w:val="20"/>
                <w:shd w:val="clear" w:color="auto" w:fill="FFFFFF"/>
              </w:rPr>
              <w:t>Lo dispuesto en los artículos </w:t>
            </w:r>
            <w:r w:rsidRPr="00856652">
              <w:rPr>
                <w:rFonts w:ascii="Cambria" w:hAnsi="Cambria"/>
                <w:spacing w:val="2"/>
                <w:sz w:val="20"/>
                <w:szCs w:val="20"/>
                <w:shd w:val="clear" w:color="auto" w:fill="FFFFFF"/>
              </w:rPr>
              <w:t>35</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90</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124-1</w:t>
            </w:r>
            <w:r w:rsidRPr="00856652">
              <w:rPr>
                <w:rFonts w:ascii="Cambria" w:hAnsi="Cambria"/>
                <w:sz w:val="20"/>
                <w:szCs w:val="20"/>
                <w:highlight w:val="yellow"/>
                <w:shd w:val="clear" w:color="auto" w:fill="FFFFFF"/>
              </w:rPr>
              <w:t>, </w:t>
            </w:r>
            <w:r w:rsidRPr="00856652">
              <w:rPr>
                <w:rFonts w:ascii="Cambria" w:hAnsi="Cambria"/>
                <w:spacing w:val="2"/>
                <w:sz w:val="20"/>
                <w:szCs w:val="20"/>
                <w:highlight w:val="yellow"/>
                <w:shd w:val="clear" w:color="auto" w:fill="FFFFFF"/>
              </w:rPr>
              <w:t>124-2</w:t>
            </w:r>
            <w:r w:rsidRPr="00856652">
              <w:rPr>
                <w:rFonts w:ascii="Cambria" w:hAnsi="Cambria"/>
                <w:sz w:val="20"/>
                <w:szCs w:val="20"/>
                <w:shd w:val="clear" w:color="auto" w:fill="FFFFFF"/>
              </w:rPr>
              <w:t>, el parágrafo 2o del artículo </w:t>
            </w:r>
            <w:r w:rsidRPr="00856652">
              <w:rPr>
                <w:rFonts w:ascii="Cambria" w:hAnsi="Cambria"/>
                <w:spacing w:val="2"/>
                <w:sz w:val="20"/>
                <w:szCs w:val="20"/>
                <w:shd w:val="clear" w:color="auto" w:fill="FFFFFF"/>
              </w:rPr>
              <w:t>143</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151</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152</w:t>
            </w:r>
            <w:r w:rsidRPr="00856652">
              <w:rPr>
                <w:rFonts w:ascii="Cambria" w:hAnsi="Cambria"/>
                <w:sz w:val="20"/>
                <w:szCs w:val="20"/>
                <w:shd w:val="clear" w:color="auto" w:fill="FFFFFF"/>
              </w:rPr>
              <w:t> y numerales 2 y 3 del artículo </w:t>
            </w:r>
            <w:r w:rsidRPr="00856652">
              <w:rPr>
                <w:rFonts w:ascii="Cambria" w:hAnsi="Cambria"/>
                <w:spacing w:val="2"/>
                <w:sz w:val="20"/>
                <w:szCs w:val="20"/>
                <w:shd w:val="clear" w:color="auto" w:fill="FFFFFF"/>
              </w:rPr>
              <w:t>312</w:t>
            </w:r>
            <w:r w:rsidRPr="00856652">
              <w:rPr>
                <w:rFonts w:ascii="Cambria" w:hAnsi="Cambria"/>
                <w:sz w:val="20"/>
                <w:szCs w:val="20"/>
                <w:shd w:val="clear" w:color="auto" w:fill="FFFFFF"/>
              </w:rPr>
              <w:t> de este Estatuto, no se aplicará a los contribuyentes que se encuentren dentro del régimen de precios de transferencia determinado en los artículos </w:t>
            </w:r>
            <w:r w:rsidRPr="00856652">
              <w:rPr>
                <w:rFonts w:ascii="Cambria" w:hAnsi="Cambria"/>
                <w:spacing w:val="2"/>
                <w:sz w:val="20"/>
                <w:szCs w:val="20"/>
                <w:shd w:val="clear" w:color="auto" w:fill="FFFFFF"/>
              </w:rPr>
              <w:t>260-1</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260-2</w:t>
            </w:r>
            <w:r w:rsidRPr="00856652">
              <w:rPr>
                <w:rFonts w:ascii="Cambria" w:hAnsi="Cambria"/>
                <w:sz w:val="20"/>
                <w:szCs w:val="20"/>
                <w:shd w:val="clear" w:color="auto" w:fill="FFFFFF"/>
              </w:rPr>
              <w:t> y </w:t>
            </w:r>
            <w:r w:rsidRPr="00856652">
              <w:rPr>
                <w:rFonts w:ascii="Cambria" w:hAnsi="Cambria"/>
                <w:spacing w:val="2"/>
                <w:sz w:val="20"/>
                <w:szCs w:val="20"/>
                <w:shd w:val="clear" w:color="auto" w:fill="FFFFFF"/>
              </w:rPr>
              <w:t>260-7</w:t>
            </w:r>
            <w:r w:rsidRPr="00856652">
              <w:rPr>
                <w:rFonts w:ascii="Cambria" w:hAnsi="Cambria"/>
                <w:sz w:val="20"/>
                <w:szCs w:val="20"/>
                <w:shd w:val="clear" w:color="auto" w:fill="FFFFFF"/>
              </w:rPr>
              <w:t> del estatuto tributario y demuestren que la operación cumple el principio de plena competencia.</w:t>
            </w:r>
          </w:p>
          <w:p w:rsidR="00856652" w:rsidRPr="00856652" w:rsidRDefault="00856652" w:rsidP="00856652">
            <w:pPr>
              <w:jc w:val="both"/>
              <w:rPr>
                <w:rFonts w:ascii="Cambria" w:hAnsi="Cambria"/>
                <w:b/>
                <w:bCs/>
                <w:color w:val="000000" w:themeColor="text1"/>
                <w:sz w:val="20"/>
                <w:szCs w:val="20"/>
              </w:rPr>
            </w:pPr>
          </w:p>
        </w:tc>
        <w:tc>
          <w:tcPr>
            <w:tcW w:w="4865" w:type="dxa"/>
          </w:tcPr>
          <w:p w:rsidR="00856652" w:rsidRDefault="00856652" w:rsidP="00856652">
            <w:pPr>
              <w:jc w:val="both"/>
              <w:rPr>
                <w:rFonts w:ascii="Cambria" w:hAnsi="Cambria"/>
                <w:sz w:val="20"/>
                <w:szCs w:val="20"/>
                <w:shd w:val="clear" w:color="auto" w:fill="FFFFFF"/>
              </w:rPr>
            </w:pPr>
            <w:r w:rsidRPr="00856652">
              <w:rPr>
                <w:rFonts w:ascii="Cambria" w:hAnsi="Cambria"/>
                <w:b/>
                <w:bCs/>
                <w:color w:val="000000" w:themeColor="text1"/>
                <w:sz w:val="20"/>
                <w:szCs w:val="20"/>
                <w:shd w:val="clear" w:color="auto" w:fill="FFFFFF"/>
              </w:rPr>
              <w:t>Artículo 260-8. </w:t>
            </w:r>
            <w:r w:rsidRPr="00856652">
              <w:rPr>
                <w:rStyle w:val="iaj"/>
                <w:rFonts w:ascii="Cambria" w:hAnsi="Cambria"/>
                <w:b/>
                <w:bCs/>
                <w:color w:val="000000" w:themeColor="text1"/>
                <w:spacing w:val="2"/>
                <w:sz w:val="20"/>
                <w:szCs w:val="20"/>
                <w:shd w:val="clear" w:color="auto" w:fill="FFFFFF"/>
              </w:rPr>
              <w:t>Ingresos, costos y deducciones.</w:t>
            </w:r>
            <w:r>
              <w:rPr>
                <w:rStyle w:val="iaj"/>
                <w:rFonts w:ascii="Cambria" w:hAnsi="Cambria"/>
                <w:b/>
                <w:bCs/>
                <w:color w:val="000000" w:themeColor="text1"/>
                <w:spacing w:val="2"/>
                <w:sz w:val="20"/>
                <w:szCs w:val="20"/>
                <w:shd w:val="clear" w:color="auto" w:fill="FFFFFF"/>
              </w:rPr>
              <w:t xml:space="preserve"> (</w:t>
            </w:r>
            <w:r w:rsidRPr="00856652">
              <w:rPr>
                <w:rStyle w:val="iaj"/>
                <w:rFonts w:ascii="Cambria" w:hAnsi="Cambria"/>
                <w:b/>
                <w:bCs/>
                <w:color w:val="FF0000"/>
                <w:spacing w:val="2"/>
                <w:sz w:val="20"/>
                <w:szCs w:val="20"/>
                <w:shd w:val="clear" w:color="auto" w:fill="FFFFFF"/>
              </w:rPr>
              <w:t xml:space="preserve">modificado con artículo 54 del proyecto de </w:t>
            </w:r>
            <w:r w:rsidR="00FB60A2">
              <w:rPr>
                <w:rStyle w:val="iaj"/>
                <w:rFonts w:ascii="Cambria" w:hAnsi="Cambria"/>
                <w:b/>
                <w:bCs/>
                <w:color w:val="FF0000"/>
                <w:spacing w:val="2"/>
                <w:sz w:val="20"/>
                <w:szCs w:val="20"/>
                <w:shd w:val="clear" w:color="auto" w:fill="FFFFFF"/>
              </w:rPr>
              <w:t>Ley de septiembre de 2025</w:t>
            </w:r>
            <w:r w:rsidRPr="00856652">
              <w:rPr>
                <w:rStyle w:val="iaj"/>
                <w:rFonts w:ascii="Cambria" w:hAnsi="Cambria"/>
                <w:b/>
                <w:bCs/>
                <w:color w:val="FF0000"/>
                <w:spacing w:val="2"/>
                <w:sz w:val="20"/>
                <w:szCs w:val="20"/>
                <w:shd w:val="clear" w:color="auto" w:fill="FFFFFF"/>
              </w:rPr>
              <w:t>)</w:t>
            </w:r>
            <w:r w:rsidRPr="00856652">
              <w:rPr>
                <w:rFonts w:ascii="Cambria" w:hAnsi="Cambria"/>
                <w:b/>
                <w:bCs/>
                <w:color w:val="FF0000"/>
                <w:sz w:val="20"/>
                <w:szCs w:val="20"/>
                <w:shd w:val="clear" w:color="auto" w:fill="FFFFFF"/>
              </w:rPr>
              <w:t> </w:t>
            </w:r>
            <w:r w:rsidRPr="00856652">
              <w:rPr>
                <w:rFonts w:ascii="Cambria" w:hAnsi="Cambria"/>
                <w:sz w:val="20"/>
                <w:szCs w:val="20"/>
                <w:shd w:val="clear" w:color="auto" w:fill="FFFFFF"/>
              </w:rPr>
              <w:t xml:space="preserve"> Lo dispuesto en los artículos </w:t>
            </w:r>
            <w:r w:rsidRPr="00856652">
              <w:rPr>
                <w:rFonts w:ascii="Cambria" w:hAnsi="Cambria"/>
                <w:spacing w:val="2"/>
                <w:sz w:val="20"/>
                <w:szCs w:val="20"/>
                <w:shd w:val="clear" w:color="auto" w:fill="FFFFFF"/>
              </w:rPr>
              <w:t>35</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90</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124-1</w:t>
            </w:r>
            <w:r w:rsidRPr="00856652">
              <w:rPr>
                <w:rFonts w:ascii="Cambria" w:hAnsi="Cambria"/>
                <w:sz w:val="20"/>
                <w:szCs w:val="20"/>
                <w:highlight w:val="yellow"/>
                <w:shd w:val="clear" w:color="auto" w:fill="FFFFFF"/>
              </w:rPr>
              <w:t>,</w:t>
            </w:r>
            <w:r w:rsidRPr="00856652">
              <w:rPr>
                <w:rFonts w:ascii="Cambria" w:hAnsi="Cambria"/>
                <w:sz w:val="20"/>
                <w:szCs w:val="20"/>
                <w:shd w:val="clear" w:color="auto" w:fill="FFFFFF"/>
              </w:rPr>
              <w:t xml:space="preserve"> el parágrafo 2o del artículo </w:t>
            </w:r>
            <w:r w:rsidRPr="00856652">
              <w:rPr>
                <w:rFonts w:ascii="Cambria" w:hAnsi="Cambria"/>
                <w:spacing w:val="2"/>
                <w:sz w:val="20"/>
                <w:szCs w:val="20"/>
                <w:shd w:val="clear" w:color="auto" w:fill="FFFFFF"/>
              </w:rPr>
              <w:t>143</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151</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152</w:t>
            </w:r>
            <w:r w:rsidRPr="00856652">
              <w:rPr>
                <w:rFonts w:ascii="Cambria" w:hAnsi="Cambria"/>
                <w:sz w:val="20"/>
                <w:szCs w:val="20"/>
                <w:shd w:val="clear" w:color="auto" w:fill="FFFFFF"/>
              </w:rPr>
              <w:t> y numerales 2 y 3 del artículo </w:t>
            </w:r>
            <w:r w:rsidRPr="00856652">
              <w:rPr>
                <w:rFonts w:ascii="Cambria" w:hAnsi="Cambria"/>
                <w:spacing w:val="2"/>
                <w:sz w:val="20"/>
                <w:szCs w:val="20"/>
                <w:shd w:val="clear" w:color="auto" w:fill="FFFFFF"/>
              </w:rPr>
              <w:t>312</w:t>
            </w:r>
            <w:r w:rsidRPr="00856652">
              <w:rPr>
                <w:rFonts w:ascii="Cambria" w:hAnsi="Cambria"/>
                <w:sz w:val="20"/>
                <w:szCs w:val="20"/>
                <w:shd w:val="clear" w:color="auto" w:fill="FFFFFF"/>
              </w:rPr>
              <w:t> de este Estatuto, no se aplicará a los contribuyentes que se encuentren dentro del régimen de precios de transferencia determinado en los artículos </w:t>
            </w:r>
            <w:r w:rsidRPr="00856652">
              <w:rPr>
                <w:rFonts w:ascii="Cambria" w:hAnsi="Cambria"/>
                <w:spacing w:val="2"/>
                <w:sz w:val="20"/>
                <w:szCs w:val="20"/>
                <w:shd w:val="clear" w:color="auto" w:fill="FFFFFF"/>
              </w:rPr>
              <w:t>260-1</w:t>
            </w:r>
            <w:r w:rsidRPr="00856652">
              <w:rPr>
                <w:rFonts w:ascii="Cambria" w:hAnsi="Cambria"/>
                <w:sz w:val="20"/>
                <w:szCs w:val="20"/>
                <w:shd w:val="clear" w:color="auto" w:fill="FFFFFF"/>
              </w:rPr>
              <w:t>, </w:t>
            </w:r>
            <w:r w:rsidRPr="00856652">
              <w:rPr>
                <w:rFonts w:ascii="Cambria" w:hAnsi="Cambria"/>
                <w:spacing w:val="2"/>
                <w:sz w:val="20"/>
                <w:szCs w:val="20"/>
                <w:shd w:val="clear" w:color="auto" w:fill="FFFFFF"/>
              </w:rPr>
              <w:t>260-2</w:t>
            </w:r>
            <w:r w:rsidRPr="00856652">
              <w:rPr>
                <w:rFonts w:ascii="Cambria" w:hAnsi="Cambria"/>
                <w:sz w:val="20"/>
                <w:szCs w:val="20"/>
                <w:shd w:val="clear" w:color="auto" w:fill="FFFFFF"/>
              </w:rPr>
              <w:t> y </w:t>
            </w:r>
            <w:r w:rsidRPr="00856652">
              <w:rPr>
                <w:rFonts w:ascii="Cambria" w:hAnsi="Cambria"/>
                <w:spacing w:val="2"/>
                <w:sz w:val="20"/>
                <w:szCs w:val="20"/>
                <w:shd w:val="clear" w:color="auto" w:fill="FFFFFF"/>
              </w:rPr>
              <w:t>260-7</w:t>
            </w:r>
            <w:r w:rsidRPr="00856652">
              <w:rPr>
                <w:rFonts w:ascii="Cambria" w:hAnsi="Cambria"/>
                <w:sz w:val="20"/>
                <w:szCs w:val="20"/>
                <w:shd w:val="clear" w:color="auto" w:fill="FFFFFF"/>
              </w:rPr>
              <w:t> del estatuto tributario y demuestren que la operación cumple el principio de plena competencia.</w:t>
            </w:r>
          </w:p>
          <w:p w:rsidR="00856652" w:rsidRDefault="00856652" w:rsidP="00856652">
            <w:pPr>
              <w:jc w:val="both"/>
              <w:rPr>
                <w:rFonts w:ascii="Cambria" w:hAnsi="Cambria"/>
                <w:sz w:val="20"/>
                <w:szCs w:val="20"/>
                <w:shd w:val="clear" w:color="auto" w:fill="FFFFFF"/>
              </w:rPr>
            </w:pPr>
          </w:p>
          <w:p w:rsidR="00856652" w:rsidRPr="00856652" w:rsidRDefault="00856652" w:rsidP="00856652">
            <w:pPr>
              <w:jc w:val="both"/>
              <w:rPr>
                <w:rFonts w:ascii="Cambria" w:hAnsi="Cambria"/>
                <w:sz w:val="20"/>
                <w:szCs w:val="20"/>
                <w:shd w:val="clear" w:color="auto" w:fill="FFFFFF"/>
              </w:rPr>
            </w:pPr>
            <w:r w:rsidRPr="00856652">
              <w:rPr>
                <w:rFonts w:ascii="Cambria" w:hAnsi="Cambria"/>
                <w:b/>
                <w:bCs/>
                <w:sz w:val="20"/>
                <w:szCs w:val="20"/>
                <w:highlight w:val="yellow"/>
              </w:rPr>
              <w:t xml:space="preserve">Parágrafo. </w:t>
            </w:r>
            <w:r w:rsidRPr="00856652">
              <w:rPr>
                <w:rFonts w:ascii="Cambria" w:hAnsi="Cambria"/>
                <w:sz w:val="20"/>
                <w:szCs w:val="20"/>
                <w:highlight w:val="yellow"/>
              </w:rPr>
              <w:t>Adicionalmente los contribuyentes del régimen de precios de transferencia deberán seguir cumpliendo con las demás obligaciones formales y sustanciales, incluida la práctica de la retención en la fuente cuando haya lugar a ello.</w:t>
            </w:r>
            <w:r w:rsidRPr="00856652">
              <w:rPr>
                <w:rFonts w:ascii="Cambria" w:hAnsi="Cambria"/>
                <w:sz w:val="20"/>
                <w:szCs w:val="20"/>
              </w:rPr>
              <w:t xml:space="preserve"> </w:t>
            </w:r>
          </w:p>
          <w:p w:rsidR="00856652" w:rsidRPr="00856652" w:rsidRDefault="00856652" w:rsidP="00856652">
            <w:pPr>
              <w:jc w:val="both"/>
              <w:rPr>
                <w:rFonts w:ascii="Cambria" w:hAnsi="Cambria"/>
                <w:b/>
                <w:bCs/>
                <w:color w:val="000000" w:themeColor="text1"/>
                <w:sz w:val="20"/>
                <w:szCs w:val="20"/>
              </w:rPr>
            </w:pPr>
          </w:p>
        </w:tc>
      </w:tr>
      <w:tr w:rsidR="00856652" w:rsidRPr="00856652" w:rsidTr="0059378C">
        <w:tc>
          <w:tcPr>
            <w:tcW w:w="4958" w:type="dxa"/>
          </w:tcPr>
          <w:p w:rsidR="00856652" w:rsidRDefault="00856652" w:rsidP="00856652">
            <w:pPr>
              <w:jc w:val="both"/>
              <w:rPr>
                <w:rFonts w:ascii="Cambria" w:hAnsi="Cambria"/>
                <w:sz w:val="20"/>
                <w:szCs w:val="20"/>
              </w:rPr>
            </w:pPr>
            <w:bookmarkStart w:id="14" w:name="266"/>
            <w:r w:rsidRPr="00856652">
              <w:rPr>
                <w:rFonts w:ascii="Cambria" w:hAnsi="Cambria"/>
                <w:b/>
                <w:bCs/>
                <w:color w:val="000000" w:themeColor="text1"/>
                <w:sz w:val="20"/>
                <w:szCs w:val="20"/>
              </w:rPr>
              <w:lastRenderedPageBreak/>
              <w:t>Articulo 266. Bienes no pose</w:t>
            </w:r>
            <w:r>
              <w:rPr>
                <w:rFonts w:ascii="Cambria" w:hAnsi="Cambria"/>
                <w:b/>
                <w:bCs/>
                <w:color w:val="000000" w:themeColor="text1"/>
                <w:sz w:val="20"/>
                <w:szCs w:val="20"/>
              </w:rPr>
              <w:t>í</w:t>
            </w:r>
            <w:r w:rsidRPr="00856652">
              <w:rPr>
                <w:rFonts w:ascii="Cambria" w:hAnsi="Cambria"/>
                <w:b/>
                <w:bCs/>
                <w:color w:val="000000" w:themeColor="text1"/>
                <w:sz w:val="20"/>
                <w:szCs w:val="20"/>
              </w:rPr>
              <w:t>dos en el pa</w:t>
            </w:r>
            <w:r>
              <w:rPr>
                <w:rFonts w:ascii="Cambria" w:hAnsi="Cambria"/>
                <w:b/>
                <w:bCs/>
                <w:color w:val="000000" w:themeColor="text1"/>
                <w:sz w:val="20"/>
                <w:szCs w:val="20"/>
              </w:rPr>
              <w:t>í</w:t>
            </w:r>
            <w:r w:rsidRPr="00856652">
              <w:rPr>
                <w:rFonts w:ascii="Cambria" w:hAnsi="Cambria"/>
                <w:b/>
                <w:bCs/>
                <w:color w:val="000000" w:themeColor="text1"/>
                <w:sz w:val="20"/>
                <w:szCs w:val="20"/>
              </w:rPr>
              <w:t>s</w:t>
            </w:r>
            <w:r w:rsidRPr="00856652">
              <w:rPr>
                <w:rFonts w:ascii="Cambria" w:hAnsi="Cambria"/>
                <w:color w:val="00A9E0"/>
                <w:sz w:val="20"/>
                <w:szCs w:val="20"/>
                <w:u w:val="single"/>
              </w:rPr>
              <w:t>.</w:t>
            </w:r>
            <w:bookmarkEnd w:id="14"/>
            <w:r w:rsidRPr="00856652">
              <w:rPr>
                <w:rFonts w:ascii="Cambria" w:hAnsi="Cambria"/>
                <w:sz w:val="20"/>
                <w:szCs w:val="20"/>
              </w:rPr>
              <w:t xml:space="preserve"> No se entienden poseídos </w:t>
            </w:r>
            <w:r w:rsidRPr="00856652">
              <w:rPr>
                <w:rFonts w:ascii="Cambria" w:hAnsi="Cambria"/>
                <w:sz w:val="20"/>
                <w:szCs w:val="20"/>
                <w:highlight w:val="yellow"/>
              </w:rPr>
              <w:t>en Colombia los siguientes créditos obtenidos en el exterior</w:t>
            </w:r>
            <w:r w:rsidRPr="00856652">
              <w:rPr>
                <w:rFonts w:ascii="Cambria" w:hAnsi="Cambria"/>
                <w:sz w:val="20"/>
                <w:szCs w:val="20"/>
              </w:rPr>
              <w:t>:</w:t>
            </w:r>
          </w:p>
          <w:p w:rsidR="00856652" w:rsidRDefault="00856652" w:rsidP="00856652">
            <w:pPr>
              <w:jc w:val="both"/>
              <w:rPr>
                <w:rFonts w:ascii="Cambria" w:hAnsi="Cambria"/>
                <w:sz w:val="20"/>
                <w:szCs w:val="20"/>
              </w:rPr>
            </w:pPr>
          </w:p>
          <w:p w:rsidR="00856652" w:rsidRPr="00856652" w:rsidRDefault="00856652" w:rsidP="00856652">
            <w:pPr>
              <w:jc w:val="both"/>
              <w:rPr>
                <w:rFonts w:ascii="Cambria" w:hAnsi="Cambria"/>
                <w:sz w:val="20"/>
                <w:szCs w:val="20"/>
              </w:rPr>
            </w:pPr>
          </w:p>
          <w:p w:rsidR="00856652" w:rsidRDefault="00856652" w:rsidP="00856652">
            <w:pPr>
              <w:jc w:val="both"/>
              <w:rPr>
                <w:rFonts w:ascii="Cambria" w:hAnsi="Cambria"/>
                <w:sz w:val="20"/>
                <w:szCs w:val="20"/>
              </w:rPr>
            </w:pPr>
            <w:r w:rsidRPr="00856652">
              <w:rPr>
                <w:rFonts w:ascii="Cambria" w:hAnsi="Cambria"/>
                <w:sz w:val="20"/>
                <w:szCs w:val="20"/>
              </w:rPr>
              <w:t>1. Los créditos a corto plazo originados en la importación de mercancías y en sobregiros o descubiertos bancarios.</w:t>
            </w:r>
          </w:p>
          <w:p w:rsidR="00856652" w:rsidRPr="00856652" w:rsidRDefault="00856652" w:rsidP="00856652">
            <w:pPr>
              <w:jc w:val="both"/>
              <w:rPr>
                <w:rFonts w:ascii="Cambria" w:hAnsi="Cambria"/>
                <w:sz w:val="20"/>
                <w:szCs w:val="20"/>
              </w:rPr>
            </w:pPr>
          </w:p>
          <w:p w:rsidR="00856652" w:rsidRPr="00856652" w:rsidRDefault="00856652" w:rsidP="00856652">
            <w:pPr>
              <w:jc w:val="both"/>
              <w:rPr>
                <w:rFonts w:ascii="Cambria" w:hAnsi="Cambria"/>
                <w:sz w:val="20"/>
                <w:szCs w:val="20"/>
              </w:rPr>
            </w:pPr>
            <w:r w:rsidRPr="00856652">
              <w:rPr>
                <w:rFonts w:ascii="Cambria" w:hAnsi="Cambria"/>
                <w:sz w:val="20"/>
                <w:szCs w:val="20"/>
              </w:rPr>
              <w:t>2. Los créditos destinados a la financiación o prefinanciación de exportaciones.</w:t>
            </w:r>
          </w:p>
          <w:p w:rsidR="00856652" w:rsidRDefault="00856652" w:rsidP="00856652">
            <w:pPr>
              <w:jc w:val="both"/>
              <w:rPr>
                <w:rFonts w:ascii="Cambria" w:hAnsi="Cambria"/>
                <w:sz w:val="20"/>
                <w:szCs w:val="20"/>
              </w:rPr>
            </w:pPr>
          </w:p>
          <w:p w:rsidR="00856652" w:rsidRDefault="00856652" w:rsidP="00856652">
            <w:pPr>
              <w:jc w:val="both"/>
              <w:rPr>
                <w:rFonts w:ascii="Cambria" w:hAnsi="Cambria"/>
                <w:sz w:val="20"/>
                <w:szCs w:val="20"/>
              </w:rPr>
            </w:pPr>
            <w:r w:rsidRPr="00856652">
              <w:rPr>
                <w:rFonts w:ascii="Cambria" w:hAnsi="Cambria"/>
                <w:sz w:val="20"/>
                <w:szCs w:val="20"/>
              </w:rPr>
              <w:t xml:space="preserve">3. Los créditos que obtengan en el exterior las corporaciones financieras, las cooperativas financieras, </w:t>
            </w:r>
            <w:proofErr w:type="spellStart"/>
            <w:r w:rsidRPr="00856652">
              <w:rPr>
                <w:rFonts w:ascii="Cambria" w:hAnsi="Cambria"/>
                <w:sz w:val="20"/>
                <w:szCs w:val="20"/>
              </w:rPr>
              <w:t>Bancoldex</w:t>
            </w:r>
            <w:proofErr w:type="spellEnd"/>
            <w:r w:rsidRPr="00856652">
              <w:rPr>
                <w:rFonts w:ascii="Cambria" w:hAnsi="Cambria"/>
                <w:sz w:val="20"/>
                <w:szCs w:val="20"/>
              </w:rPr>
              <w:t>, Finagro y Findeter y los bancos, constituidos conforme a las leyes colombianas vigentes.</w:t>
            </w:r>
          </w:p>
          <w:p w:rsid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sz w:val="20"/>
                <w:szCs w:val="20"/>
              </w:rPr>
            </w:pPr>
            <w:r w:rsidRPr="00856652">
              <w:rPr>
                <w:rFonts w:ascii="Cambria" w:hAnsi="Cambria"/>
                <w:sz w:val="20"/>
                <w:szCs w:val="20"/>
              </w:rPr>
              <w:t>4. Los créditos para operaciones de comercio exterior, realizados por intermedio de las corporaciones financieras y los bancos constituidos conforme a las leyes colombianas vigentes.</w:t>
            </w:r>
          </w:p>
          <w:p w:rsidR="00856652" w:rsidRDefault="00856652" w:rsidP="00856652">
            <w:pPr>
              <w:jc w:val="both"/>
              <w:rPr>
                <w:rFonts w:ascii="Cambria" w:hAnsi="Cambria"/>
                <w:sz w:val="20"/>
                <w:szCs w:val="20"/>
              </w:rPr>
            </w:pPr>
          </w:p>
          <w:p w:rsidR="00856652" w:rsidRDefault="00856652" w:rsidP="00856652">
            <w:pPr>
              <w:jc w:val="both"/>
              <w:rPr>
                <w:rFonts w:ascii="Cambria" w:hAnsi="Cambria"/>
                <w:color w:val="454545"/>
                <w:sz w:val="20"/>
                <w:szCs w:val="20"/>
              </w:rPr>
            </w:pPr>
            <w:r w:rsidRPr="00856652">
              <w:rPr>
                <w:rFonts w:ascii="Cambria" w:hAnsi="Cambria"/>
                <w:sz w:val="20"/>
                <w:szCs w:val="20"/>
              </w:rPr>
              <w:t xml:space="preserve">5. </w:t>
            </w:r>
            <w:r w:rsidRPr="00856652">
              <w:rPr>
                <w:rFonts w:ascii="Cambria" w:hAnsi="Cambria"/>
                <w:sz w:val="20"/>
                <w:szCs w:val="20"/>
                <w:highlight w:val="yellow"/>
              </w:rPr>
              <w:t>&lt;Numeral derogado por el artículo </w:t>
            </w:r>
            <w:hyperlink r:id="rId41" w:anchor="67" w:history="1">
              <w:r w:rsidRPr="00856652">
                <w:rPr>
                  <w:rStyle w:val="Hipervnculo"/>
                  <w:rFonts w:ascii="Cambria" w:hAnsi="Cambria"/>
                  <w:color w:val="00A9E0"/>
                  <w:spacing w:val="2"/>
                  <w:sz w:val="20"/>
                  <w:szCs w:val="20"/>
                  <w:highlight w:val="yellow"/>
                </w:rPr>
                <w:t>67</w:t>
              </w:r>
            </w:hyperlink>
            <w:r w:rsidRPr="00856652">
              <w:rPr>
                <w:rFonts w:ascii="Cambria" w:hAnsi="Cambria"/>
                <w:sz w:val="20"/>
                <w:szCs w:val="20"/>
                <w:highlight w:val="yellow"/>
              </w:rPr>
              <w:t> de la Ley 1430 de 2010&gt;</w:t>
            </w:r>
          </w:p>
          <w:p w:rsidR="00856652" w:rsidRDefault="00856652" w:rsidP="00856652">
            <w:pPr>
              <w:jc w:val="both"/>
              <w:rPr>
                <w:rFonts w:ascii="Cambria" w:hAnsi="Cambria"/>
                <w:color w:val="454545"/>
                <w:sz w:val="20"/>
                <w:szCs w:val="20"/>
              </w:rPr>
            </w:pPr>
            <w:r w:rsidRPr="00856652">
              <w:rPr>
                <w:rFonts w:ascii="Cambria" w:hAnsi="Cambria"/>
                <w:color w:val="454545"/>
                <w:sz w:val="20"/>
                <w:szCs w:val="20"/>
              </w:rPr>
              <w:t xml:space="preserve"> </w:t>
            </w:r>
          </w:p>
          <w:p w:rsidR="00856652" w:rsidRP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sz w:val="20"/>
                <w:szCs w:val="20"/>
              </w:rPr>
            </w:pPr>
            <w:r w:rsidRPr="00856652">
              <w:rPr>
                <w:rFonts w:ascii="Cambria" w:hAnsi="Cambria"/>
                <w:sz w:val="20"/>
                <w:szCs w:val="20"/>
              </w:rPr>
              <w:t>6. &lt;Numeral adicionado por el artículo </w:t>
            </w:r>
            <w:hyperlink r:id="rId42" w:anchor="56" w:history="1">
              <w:r w:rsidRPr="00856652">
                <w:rPr>
                  <w:rStyle w:val="Hipervnculo"/>
                  <w:rFonts w:ascii="Cambria" w:hAnsi="Cambria"/>
                  <w:color w:val="00A9E0"/>
                  <w:spacing w:val="2"/>
                  <w:sz w:val="20"/>
                  <w:szCs w:val="20"/>
                </w:rPr>
                <w:t>56</w:t>
              </w:r>
            </w:hyperlink>
            <w:r w:rsidRPr="00856652">
              <w:rPr>
                <w:rFonts w:ascii="Cambria" w:hAnsi="Cambria"/>
                <w:sz w:val="20"/>
                <w:szCs w:val="20"/>
              </w:rPr>
              <w:t> de la Ley 1430 de 2010. El nuevo texto es el siguiente:&gt; Los títulos, bonos u otros títulos de deuda emitido por un emisor colombiano y que sean transados en el exterior.</w:t>
            </w:r>
          </w:p>
          <w:p w:rsidR="00856652" w:rsidRP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b/>
                <w:bCs/>
                <w:color w:val="000000" w:themeColor="text1"/>
                <w:sz w:val="20"/>
                <w:szCs w:val="20"/>
              </w:rPr>
            </w:pPr>
          </w:p>
        </w:tc>
        <w:tc>
          <w:tcPr>
            <w:tcW w:w="4865" w:type="dxa"/>
          </w:tcPr>
          <w:p w:rsidR="00856652" w:rsidRDefault="00856652" w:rsidP="00856652">
            <w:pPr>
              <w:jc w:val="both"/>
              <w:rPr>
                <w:rFonts w:ascii="Cambria" w:hAnsi="Cambria"/>
                <w:sz w:val="20"/>
                <w:szCs w:val="20"/>
              </w:rPr>
            </w:pPr>
            <w:r w:rsidRPr="00856652">
              <w:rPr>
                <w:rFonts w:ascii="Cambria" w:hAnsi="Cambria"/>
                <w:b/>
                <w:bCs/>
                <w:color w:val="000000" w:themeColor="text1"/>
                <w:sz w:val="20"/>
                <w:szCs w:val="20"/>
              </w:rPr>
              <w:t>Articulo 266. Bienes no pose</w:t>
            </w:r>
            <w:r>
              <w:rPr>
                <w:rFonts w:ascii="Cambria" w:hAnsi="Cambria"/>
                <w:b/>
                <w:bCs/>
                <w:color w:val="000000" w:themeColor="text1"/>
                <w:sz w:val="20"/>
                <w:szCs w:val="20"/>
              </w:rPr>
              <w:t>í</w:t>
            </w:r>
            <w:r w:rsidRPr="00856652">
              <w:rPr>
                <w:rFonts w:ascii="Cambria" w:hAnsi="Cambria"/>
                <w:b/>
                <w:bCs/>
                <w:color w:val="000000" w:themeColor="text1"/>
                <w:sz w:val="20"/>
                <w:szCs w:val="20"/>
              </w:rPr>
              <w:t>dos en el pa</w:t>
            </w:r>
            <w:r>
              <w:rPr>
                <w:rFonts w:ascii="Cambria" w:hAnsi="Cambria"/>
                <w:b/>
                <w:bCs/>
                <w:color w:val="000000" w:themeColor="text1"/>
                <w:sz w:val="20"/>
                <w:szCs w:val="20"/>
              </w:rPr>
              <w:t>í</w:t>
            </w:r>
            <w:r w:rsidRPr="00856652">
              <w:rPr>
                <w:rFonts w:ascii="Cambria" w:hAnsi="Cambria"/>
                <w:b/>
                <w:bCs/>
                <w:color w:val="000000" w:themeColor="text1"/>
                <w:sz w:val="20"/>
                <w:szCs w:val="20"/>
              </w:rPr>
              <w:t>s</w:t>
            </w:r>
            <w:r>
              <w:rPr>
                <w:rFonts w:ascii="Cambria" w:hAnsi="Cambria"/>
                <w:b/>
                <w:bCs/>
                <w:color w:val="000000" w:themeColor="text1"/>
                <w:sz w:val="20"/>
                <w:szCs w:val="20"/>
              </w:rPr>
              <w:t xml:space="preserve"> </w:t>
            </w:r>
            <w:r w:rsidRPr="00856652">
              <w:rPr>
                <w:rFonts w:ascii="Cambria" w:hAnsi="Cambria"/>
                <w:b/>
                <w:bCs/>
                <w:color w:val="FF0000"/>
                <w:sz w:val="20"/>
                <w:szCs w:val="20"/>
              </w:rPr>
              <w:t xml:space="preserve">(modificado con artículo 49 del proyecto de Ley </w:t>
            </w:r>
            <w:r w:rsidR="00FB60A2">
              <w:rPr>
                <w:rFonts w:ascii="Cambria" w:hAnsi="Cambria"/>
                <w:b/>
                <w:bCs/>
                <w:color w:val="FF0000"/>
                <w:sz w:val="20"/>
                <w:szCs w:val="20"/>
              </w:rPr>
              <w:t>de septiembre</w:t>
            </w:r>
            <w:r w:rsidRPr="00856652">
              <w:rPr>
                <w:rFonts w:ascii="Cambria" w:hAnsi="Cambria"/>
                <w:b/>
                <w:bCs/>
                <w:color w:val="FF0000"/>
                <w:sz w:val="20"/>
                <w:szCs w:val="20"/>
              </w:rPr>
              <w:t xml:space="preserve"> de 2025)</w:t>
            </w:r>
            <w:r w:rsidRPr="00856652">
              <w:rPr>
                <w:rFonts w:ascii="Cambria" w:hAnsi="Cambria"/>
                <w:color w:val="FF0000"/>
                <w:sz w:val="20"/>
                <w:szCs w:val="20"/>
                <w:u w:val="single"/>
              </w:rPr>
              <w:t>.</w:t>
            </w:r>
            <w:r w:rsidRPr="00856652">
              <w:rPr>
                <w:rFonts w:ascii="Cambria" w:hAnsi="Cambria"/>
                <w:color w:val="FF0000"/>
                <w:sz w:val="20"/>
                <w:szCs w:val="20"/>
              </w:rPr>
              <w:t> </w:t>
            </w:r>
            <w:r w:rsidRPr="00856652">
              <w:rPr>
                <w:rFonts w:ascii="Cambria" w:hAnsi="Cambria"/>
                <w:sz w:val="20"/>
                <w:szCs w:val="20"/>
              </w:rPr>
              <w:t>No se entienden poseídos</w:t>
            </w:r>
            <w:r>
              <w:rPr>
                <w:rFonts w:ascii="Cambria" w:hAnsi="Cambria"/>
                <w:sz w:val="20"/>
                <w:szCs w:val="20"/>
              </w:rPr>
              <w:t xml:space="preserve"> en el pa</w:t>
            </w:r>
            <w:r w:rsidR="00FB60A2">
              <w:rPr>
                <w:rFonts w:ascii="Cambria" w:hAnsi="Cambria"/>
                <w:sz w:val="20"/>
                <w:szCs w:val="20"/>
              </w:rPr>
              <w:t>í</w:t>
            </w:r>
            <w:r>
              <w:rPr>
                <w:rFonts w:ascii="Cambria" w:hAnsi="Cambria"/>
                <w:sz w:val="20"/>
                <w:szCs w:val="20"/>
              </w:rPr>
              <w:t>s</w:t>
            </w:r>
            <w:r w:rsidRPr="00856652">
              <w:rPr>
                <w:rFonts w:ascii="Cambria" w:hAnsi="Cambria"/>
                <w:sz w:val="20"/>
                <w:szCs w:val="20"/>
              </w:rPr>
              <w:t>:</w:t>
            </w:r>
          </w:p>
          <w:p w:rsidR="00856652" w:rsidRDefault="00856652" w:rsidP="00856652">
            <w:pPr>
              <w:jc w:val="both"/>
              <w:rPr>
                <w:rFonts w:ascii="Cambria" w:hAnsi="Cambria"/>
                <w:sz w:val="20"/>
                <w:szCs w:val="20"/>
              </w:rPr>
            </w:pPr>
          </w:p>
          <w:p w:rsidR="00856652" w:rsidRPr="00856652" w:rsidRDefault="00856652" w:rsidP="00856652">
            <w:pPr>
              <w:jc w:val="both"/>
              <w:rPr>
                <w:rFonts w:ascii="Cambria" w:hAnsi="Cambria"/>
                <w:sz w:val="20"/>
                <w:szCs w:val="20"/>
              </w:rPr>
            </w:pPr>
          </w:p>
          <w:p w:rsidR="00856652" w:rsidRDefault="00856652" w:rsidP="00856652">
            <w:pPr>
              <w:jc w:val="both"/>
              <w:rPr>
                <w:rFonts w:ascii="Cambria" w:hAnsi="Cambria"/>
                <w:sz w:val="20"/>
                <w:szCs w:val="20"/>
              </w:rPr>
            </w:pPr>
            <w:r w:rsidRPr="00856652">
              <w:rPr>
                <w:rFonts w:ascii="Cambria" w:hAnsi="Cambria"/>
                <w:sz w:val="20"/>
                <w:szCs w:val="20"/>
              </w:rPr>
              <w:t>1. Los créditos a corto plazo originados en la importación de mercancías y en sobregiros o descubiertos bancarios.</w:t>
            </w:r>
          </w:p>
          <w:p w:rsidR="00856652" w:rsidRPr="00856652" w:rsidRDefault="00856652" w:rsidP="00856652">
            <w:pPr>
              <w:jc w:val="both"/>
              <w:rPr>
                <w:rFonts w:ascii="Cambria" w:hAnsi="Cambria"/>
                <w:sz w:val="20"/>
                <w:szCs w:val="20"/>
              </w:rPr>
            </w:pPr>
          </w:p>
          <w:p w:rsidR="00856652" w:rsidRPr="00856652" w:rsidRDefault="00856652" w:rsidP="00856652">
            <w:pPr>
              <w:jc w:val="both"/>
              <w:rPr>
                <w:rFonts w:ascii="Cambria" w:hAnsi="Cambria"/>
                <w:sz w:val="20"/>
                <w:szCs w:val="20"/>
              </w:rPr>
            </w:pPr>
            <w:r w:rsidRPr="00856652">
              <w:rPr>
                <w:rFonts w:ascii="Cambria" w:hAnsi="Cambria"/>
                <w:sz w:val="20"/>
                <w:szCs w:val="20"/>
              </w:rPr>
              <w:t>2. Los créditos destinados a la financiación o prefinanciación de exportaciones.</w:t>
            </w:r>
          </w:p>
          <w:p w:rsidR="00856652" w:rsidRDefault="00856652" w:rsidP="00856652">
            <w:pPr>
              <w:jc w:val="both"/>
              <w:rPr>
                <w:rFonts w:ascii="Cambria" w:hAnsi="Cambria"/>
                <w:sz w:val="20"/>
                <w:szCs w:val="20"/>
              </w:rPr>
            </w:pPr>
          </w:p>
          <w:p w:rsidR="00856652" w:rsidRDefault="00856652" w:rsidP="00856652">
            <w:pPr>
              <w:jc w:val="both"/>
              <w:rPr>
                <w:rFonts w:ascii="Cambria" w:hAnsi="Cambria"/>
                <w:sz w:val="20"/>
                <w:szCs w:val="20"/>
              </w:rPr>
            </w:pPr>
            <w:r w:rsidRPr="00856652">
              <w:rPr>
                <w:rFonts w:ascii="Cambria" w:hAnsi="Cambria"/>
                <w:sz w:val="20"/>
                <w:szCs w:val="20"/>
              </w:rPr>
              <w:t xml:space="preserve">3. Los créditos que obtengan en el exterior las corporaciones financieras, las cooperativas financieras, </w:t>
            </w:r>
            <w:proofErr w:type="spellStart"/>
            <w:r w:rsidRPr="00856652">
              <w:rPr>
                <w:rFonts w:ascii="Cambria" w:hAnsi="Cambria"/>
                <w:sz w:val="20"/>
                <w:szCs w:val="20"/>
              </w:rPr>
              <w:t>Bancoldex</w:t>
            </w:r>
            <w:proofErr w:type="spellEnd"/>
            <w:r w:rsidRPr="00856652">
              <w:rPr>
                <w:rFonts w:ascii="Cambria" w:hAnsi="Cambria"/>
                <w:sz w:val="20"/>
                <w:szCs w:val="20"/>
              </w:rPr>
              <w:t>, Finagro y Findeter y los bancos, constituidos conforme a las leyes colombianas vigentes.</w:t>
            </w:r>
          </w:p>
          <w:p w:rsidR="00856652" w:rsidRP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sz w:val="20"/>
                <w:szCs w:val="20"/>
              </w:rPr>
            </w:pPr>
            <w:r w:rsidRPr="00856652">
              <w:rPr>
                <w:rFonts w:ascii="Cambria" w:hAnsi="Cambria"/>
                <w:sz w:val="20"/>
                <w:szCs w:val="20"/>
              </w:rPr>
              <w:t>4. Los créditos para operaciones de comercio exterior, realizados por intermedio de las corporaciones financieras y los bancos constituidos conforme a las leyes colombianas vigentes.</w:t>
            </w:r>
          </w:p>
          <w:p w:rsidR="00856652" w:rsidRDefault="00856652" w:rsidP="00856652">
            <w:pPr>
              <w:jc w:val="both"/>
              <w:rPr>
                <w:rFonts w:ascii="Cambria" w:hAnsi="Cambria"/>
                <w:sz w:val="20"/>
                <w:szCs w:val="20"/>
              </w:rPr>
            </w:pPr>
          </w:p>
          <w:p w:rsidR="00856652" w:rsidRPr="00856652" w:rsidRDefault="00856652" w:rsidP="00856652">
            <w:pPr>
              <w:jc w:val="both"/>
              <w:rPr>
                <w:rFonts w:ascii="Cambria" w:hAnsi="Cambria"/>
                <w:color w:val="454545"/>
                <w:sz w:val="20"/>
                <w:szCs w:val="20"/>
              </w:rPr>
            </w:pPr>
            <w:r w:rsidRPr="00856652">
              <w:rPr>
                <w:rFonts w:ascii="Cambria" w:hAnsi="Cambria"/>
                <w:sz w:val="20"/>
                <w:szCs w:val="20"/>
              </w:rPr>
              <w:t xml:space="preserve">5. </w:t>
            </w:r>
            <w:r w:rsidRPr="00856652">
              <w:rPr>
                <w:rFonts w:ascii="Cambria" w:hAnsi="Cambria"/>
                <w:sz w:val="20"/>
                <w:szCs w:val="20"/>
                <w:highlight w:val="yellow"/>
              </w:rPr>
              <w:t>Los activos digitales. Excepto cuando se trate de un activo digital con un activo subyacente, en cuyo caso tendrá el tratamiento del activo subyacente</w:t>
            </w:r>
            <w:r w:rsidRPr="00856652">
              <w:rPr>
                <w:rFonts w:ascii="Cambria" w:hAnsi="Cambria"/>
                <w:sz w:val="20"/>
                <w:szCs w:val="20"/>
              </w:rPr>
              <w:t xml:space="preserve"> </w:t>
            </w:r>
          </w:p>
          <w:p w:rsidR="00856652" w:rsidRPr="00856652" w:rsidRDefault="00856652" w:rsidP="00856652">
            <w:pPr>
              <w:jc w:val="both"/>
              <w:rPr>
                <w:rFonts w:ascii="Cambria" w:hAnsi="Cambria"/>
                <w:color w:val="454545"/>
                <w:sz w:val="20"/>
                <w:szCs w:val="20"/>
              </w:rPr>
            </w:pPr>
            <w:r w:rsidRPr="00856652">
              <w:rPr>
                <w:rFonts w:ascii="Cambria" w:hAnsi="Cambria"/>
                <w:color w:val="454545"/>
                <w:sz w:val="20"/>
                <w:szCs w:val="20"/>
              </w:rPr>
              <w:t xml:space="preserve"> </w:t>
            </w:r>
          </w:p>
          <w:p w:rsidR="00856652" w:rsidRPr="00856652" w:rsidRDefault="00856652" w:rsidP="00856652">
            <w:pPr>
              <w:jc w:val="both"/>
              <w:rPr>
                <w:rFonts w:ascii="Cambria" w:hAnsi="Cambria"/>
                <w:sz w:val="20"/>
                <w:szCs w:val="20"/>
              </w:rPr>
            </w:pPr>
            <w:r w:rsidRPr="00856652">
              <w:rPr>
                <w:rFonts w:ascii="Cambria" w:hAnsi="Cambria"/>
                <w:sz w:val="20"/>
                <w:szCs w:val="20"/>
              </w:rPr>
              <w:t>6. &lt;Numeral adicionado por el artículo </w:t>
            </w:r>
            <w:hyperlink r:id="rId43" w:anchor="56" w:history="1">
              <w:r w:rsidRPr="00856652">
                <w:rPr>
                  <w:rStyle w:val="Hipervnculo"/>
                  <w:rFonts w:ascii="Cambria" w:hAnsi="Cambria"/>
                  <w:color w:val="00A9E0"/>
                  <w:spacing w:val="2"/>
                  <w:sz w:val="20"/>
                  <w:szCs w:val="20"/>
                </w:rPr>
                <w:t>56</w:t>
              </w:r>
            </w:hyperlink>
            <w:r w:rsidRPr="00856652">
              <w:rPr>
                <w:rFonts w:ascii="Cambria" w:hAnsi="Cambria"/>
                <w:sz w:val="20"/>
                <w:szCs w:val="20"/>
              </w:rPr>
              <w:t> de la Ley 1430 de 2010. El nuevo texto es el siguiente:&gt; Los títulos, bonos u otros títulos de deuda emitido por un emisor colombiano y que sean transados en el exterior.</w:t>
            </w:r>
          </w:p>
          <w:p w:rsidR="00856652" w:rsidRPr="00856652" w:rsidRDefault="00856652" w:rsidP="00856652">
            <w:pPr>
              <w:jc w:val="both"/>
              <w:rPr>
                <w:rFonts w:ascii="Cambria" w:hAnsi="Cambria"/>
                <w:color w:val="454545"/>
                <w:sz w:val="20"/>
                <w:szCs w:val="20"/>
              </w:rPr>
            </w:pPr>
          </w:p>
          <w:p w:rsidR="00856652" w:rsidRPr="00856652" w:rsidRDefault="00856652" w:rsidP="00856652">
            <w:pPr>
              <w:jc w:val="both"/>
              <w:rPr>
                <w:rFonts w:ascii="Cambria" w:hAnsi="Cambria"/>
                <w:b/>
                <w:bCs/>
                <w:color w:val="000000" w:themeColor="text1"/>
                <w:sz w:val="20"/>
                <w:szCs w:val="20"/>
              </w:rPr>
            </w:pPr>
          </w:p>
        </w:tc>
      </w:tr>
      <w:tr w:rsidR="00583AEB" w:rsidTr="0059378C">
        <w:tc>
          <w:tcPr>
            <w:tcW w:w="4958" w:type="dxa"/>
          </w:tcPr>
          <w:p w:rsidR="00583AEB" w:rsidRDefault="00583AEB" w:rsidP="00583AEB">
            <w:pPr>
              <w:jc w:val="both"/>
              <w:rPr>
                <w:rFonts w:ascii="Cambria" w:hAnsi="Cambria"/>
                <w:sz w:val="20"/>
                <w:szCs w:val="20"/>
              </w:rPr>
            </w:pPr>
            <w:bookmarkStart w:id="15" w:name="288"/>
            <w:r w:rsidRPr="00583AEB">
              <w:rPr>
                <w:rFonts w:ascii="Cambria" w:hAnsi="Cambria"/>
                <w:b/>
                <w:bCs/>
                <w:color w:val="000000" w:themeColor="text1"/>
                <w:sz w:val="20"/>
                <w:szCs w:val="20"/>
              </w:rPr>
              <w:t>Artículo 288. </w:t>
            </w:r>
            <w:r w:rsidRPr="00583AEB">
              <w:rPr>
                <w:rStyle w:val="iaj"/>
                <w:rFonts w:ascii="Cambria" w:hAnsi="Cambria"/>
                <w:b/>
                <w:bCs/>
                <w:color w:val="000000" w:themeColor="text1"/>
                <w:spacing w:val="2"/>
                <w:sz w:val="20"/>
                <w:szCs w:val="20"/>
              </w:rPr>
              <w:t>Ajustes por diferencia en cambio</w:t>
            </w:r>
            <w:r w:rsidRPr="00583AEB">
              <w:rPr>
                <w:rFonts w:ascii="Cambria" w:hAnsi="Cambria"/>
                <w:b/>
                <w:bCs/>
                <w:color w:val="000000" w:themeColor="text1"/>
                <w:sz w:val="20"/>
                <w:szCs w:val="20"/>
              </w:rPr>
              <w:t>.</w:t>
            </w:r>
            <w:bookmarkEnd w:id="15"/>
            <w:r w:rsidRPr="00583AEB">
              <w:rPr>
                <w:rFonts w:ascii="Cambria" w:hAnsi="Cambria"/>
                <w:b/>
                <w:bCs/>
                <w:color w:val="000000" w:themeColor="text1"/>
                <w:sz w:val="20"/>
                <w:szCs w:val="20"/>
              </w:rPr>
              <w:t> </w:t>
            </w:r>
            <w:r w:rsidRPr="00583AEB">
              <w:rPr>
                <w:rFonts w:ascii="Cambria" w:hAnsi="Cambria"/>
                <w:sz w:val="20"/>
                <w:szCs w:val="20"/>
              </w:rPr>
              <w:t xml:space="preserve"> Los ingresos, costos, deducciones, activos y pasivos en moneda extranjera se medirán al momento de su reconocimiento inicial a la tasa representativa del mercado.</w:t>
            </w:r>
          </w:p>
          <w:p w:rsidR="00583AEB" w:rsidRDefault="00583AEB" w:rsidP="00583AEB">
            <w:pPr>
              <w:jc w:val="both"/>
              <w:rPr>
                <w:rFonts w:ascii="Cambria" w:hAnsi="Cambria"/>
                <w:sz w:val="20"/>
                <w:szCs w:val="20"/>
              </w:rPr>
            </w:pPr>
          </w:p>
          <w:p w:rsidR="00583AEB" w:rsidRPr="00583AEB" w:rsidRDefault="00583AEB" w:rsidP="00583AEB">
            <w:pPr>
              <w:jc w:val="both"/>
              <w:rPr>
                <w:rFonts w:ascii="Cambria" w:hAnsi="Cambria"/>
                <w:sz w:val="20"/>
                <w:szCs w:val="20"/>
              </w:rPr>
            </w:pPr>
          </w:p>
          <w:p w:rsidR="00583AEB" w:rsidRPr="00583AEB" w:rsidRDefault="00583AEB" w:rsidP="00583AEB">
            <w:pPr>
              <w:jc w:val="both"/>
              <w:rPr>
                <w:rFonts w:ascii="Cambria" w:hAnsi="Cambria"/>
                <w:sz w:val="20"/>
                <w:szCs w:val="20"/>
              </w:rPr>
            </w:pPr>
            <w:r w:rsidRPr="00583AEB">
              <w:rPr>
                <w:rFonts w:ascii="Cambria" w:hAnsi="Cambria"/>
                <w:sz w:val="20"/>
                <w:szCs w:val="20"/>
              </w:rPr>
              <w:t>Las fluctuaciones de las partidas del estado de situación financiera, activos y pasivos, expresadas en moneda extranjera, no tendrán efectos fiscales sino hasta el momento de la enajenación o abono en el caso de los activos, o liquidación o pago parcial en el caso de los pasivos.</w:t>
            </w:r>
          </w:p>
          <w:p w:rsidR="00583AEB" w:rsidRPr="00583AEB" w:rsidRDefault="00583AEB" w:rsidP="00583AEB">
            <w:pPr>
              <w:jc w:val="both"/>
              <w:rPr>
                <w:rFonts w:ascii="Cambria" w:hAnsi="Cambria"/>
                <w:sz w:val="20"/>
                <w:szCs w:val="20"/>
              </w:rPr>
            </w:pPr>
            <w:r w:rsidRPr="00583AEB">
              <w:rPr>
                <w:rFonts w:ascii="Cambria" w:hAnsi="Cambria"/>
                <w:sz w:val="20"/>
                <w:szCs w:val="20"/>
              </w:rPr>
              <w:t>En los eventos de enajenación o abono, la liquidación o el pago parcial, según sea el caso, se reconocerá a la tasa representativa del mercado del reconocimiento inicial.</w:t>
            </w:r>
          </w:p>
          <w:p w:rsidR="00583AEB" w:rsidRDefault="00583AEB" w:rsidP="00583AEB">
            <w:pPr>
              <w:jc w:val="both"/>
              <w:rPr>
                <w:rFonts w:ascii="Cambria" w:hAnsi="Cambria"/>
                <w:sz w:val="20"/>
                <w:szCs w:val="20"/>
              </w:rPr>
            </w:pPr>
          </w:p>
          <w:p w:rsidR="00583AEB" w:rsidRDefault="00583AEB" w:rsidP="00583AEB">
            <w:pPr>
              <w:jc w:val="both"/>
              <w:rPr>
                <w:rFonts w:ascii="Cambria" w:hAnsi="Cambria"/>
                <w:sz w:val="20"/>
                <w:szCs w:val="20"/>
              </w:rPr>
            </w:pPr>
          </w:p>
          <w:p w:rsidR="00583AEB" w:rsidRPr="00583AEB" w:rsidRDefault="00583AEB" w:rsidP="00583AEB">
            <w:pPr>
              <w:jc w:val="both"/>
              <w:rPr>
                <w:rFonts w:ascii="Cambria" w:hAnsi="Cambria"/>
                <w:sz w:val="20"/>
                <w:szCs w:val="20"/>
              </w:rPr>
            </w:pPr>
            <w:r w:rsidRPr="00583AEB">
              <w:rPr>
                <w:rFonts w:ascii="Cambria" w:hAnsi="Cambria"/>
                <w:sz w:val="20"/>
                <w:szCs w:val="20"/>
              </w:rPr>
              <w:t xml:space="preserve">El ingreso gravado, costo o gasto deducible en los abonos o pagos mencionados anteriormente </w:t>
            </w:r>
            <w:r w:rsidRPr="00583AEB">
              <w:rPr>
                <w:rFonts w:ascii="Cambria" w:hAnsi="Cambria"/>
                <w:sz w:val="20"/>
                <w:szCs w:val="20"/>
              </w:rPr>
              <w:lastRenderedPageBreak/>
              <w:t>corresponderá al que se genere por la diferencia entre la tasa representativa del mercado en el reconocimiento inicial y la tasa representativa del mercado en el momento del abono o pago.</w:t>
            </w:r>
          </w:p>
          <w:p w:rsidR="00583AEB" w:rsidRPr="00583AEB" w:rsidRDefault="00583AEB" w:rsidP="00583AEB">
            <w:pPr>
              <w:jc w:val="both"/>
              <w:rPr>
                <w:rFonts w:ascii="Cambria" w:hAnsi="Cambria"/>
                <w:b/>
                <w:bCs/>
                <w:color w:val="000000" w:themeColor="text1"/>
                <w:sz w:val="20"/>
                <w:szCs w:val="20"/>
              </w:rPr>
            </w:pPr>
          </w:p>
        </w:tc>
        <w:tc>
          <w:tcPr>
            <w:tcW w:w="4865" w:type="dxa"/>
          </w:tcPr>
          <w:p w:rsidR="00583AEB" w:rsidRDefault="00583AEB" w:rsidP="00583AEB">
            <w:pPr>
              <w:jc w:val="both"/>
              <w:rPr>
                <w:rFonts w:ascii="Cambria" w:hAnsi="Cambria"/>
                <w:sz w:val="20"/>
                <w:szCs w:val="20"/>
              </w:rPr>
            </w:pPr>
            <w:r w:rsidRPr="00583AEB">
              <w:rPr>
                <w:rFonts w:ascii="Cambria" w:hAnsi="Cambria"/>
                <w:b/>
                <w:bCs/>
                <w:color w:val="000000" w:themeColor="text1"/>
                <w:sz w:val="20"/>
                <w:szCs w:val="20"/>
              </w:rPr>
              <w:lastRenderedPageBreak/>
              <w:t>Artículo 288. </w:t>
            </w:r>
            <w:r w:rsidRPr="00583AEB">
              <w:rPr>
                <w:rStyle w:val="iaj"/>
                <w:rFonts w:ascii="Cambria" w:hAnsi="Cambria"/>
                <w:b/>
                <w:bCs/>
                <w:color w:val="000000" w:themeColor="text1"/>
                <w:spacing w:val="2"/>
                <w:sz w:val="20"/>
                <w:szCs w:val="20"/>
              </w:rPr>
              <w:t>Ajustes por diferencia en cambio</w:t>
            </w:r>
            <w:r>
              <w:rPr>
                <w:rStyle w:val="iaj"/>
                <w:rFonts w:ascii="Cambria" w:hAnsi="Cambria"/>
                <w:b/>
                <w:bCs/>
                <w:color w:val="000000" w:themeColor="text1"/>
                <w:spacing w:val="2"/>
                <w:sz w:val="20"/>
                <w:szCs w:val="20"/>
              </w:rPr>
              <w:t xml:space="preserve"> </w:t>
            </w:r>
            <w:r w:rsidRPr="00856652">
              <w:rPr>
                <w:rFonts w:ascii="Cambria" w:hAnsi="Cambria"/>
                <w:b/>
                <w:bCs/>
                <w:color w:val="FF0000"/>
                <w:sz w:val="20"/>
                <w:szCs w:val="20"/>
              </w:rPr>
              <w:t xml:space="preserve">(modificado con artículo </w:t>
            </w:r>
            <w:r>
              <w:rPr>
                <w:rFonts w:ascii="Cambria" w:hAnsi="Cambria"/>
                <w:b/>
                <w:bCs/>
                <w:color w:val="FF0000"/>
                <w:sz w:val="20"/>
                <w:szCs w:val="20"/>
              </w:rPr>
              <w:t>50</w:t>
            </w:r>
            <w:r w:rsidRPr="00856652">
              <w:rPr>
                <w:rFonts w:ascii="Cambria" w:hAnsi="Cambria"/>
                <w:b/>
                <w:bCs/>
                <w:color w:val="FF0000"/>
                <w:sz w:val="20"/>
                <w:szCs w:val="20"/>
              </w:rPr>
              <w:t xml:space="preserve"> del proyecto de Ley </w:t>
            </w:r>
            <w:r w:rsidR="00FB60A2">
              <w:rPr>
                <w:rFonts w:ascii="Cambria" w:hAnsi="Cambria"/>
                <w:b/>
                <w:bCs/>
                <w:color w:val="FF0000"/>
                <w:sz w:val="20"/>
                <w:szCs w:val="20"/>
              </w:rPr>
              <w:t xml:space="preserve">de septiembre </w:t>
            </w:r>
            <w:r w:rsidRPr="00856652">
              <w:rPr>
                <w:rFonts w:ascii="Cambria" w:hAnsi="Cambria"/>
                <w:b/>
                <w:bCs/>
                <w:color w:val="FF0000"/>
                <w:sz w:val="20"/>
                <w:szCs w:val="20"/>
              </w:rPr>
              <w:t>de 2025)</w:t>
            </w:r>
            <w:r w:rsidRPr="00856652">
              <w:rPr>
                <w:rFonts w:ascii="Cambria" w:hAnsi="Cambria"/>
                <w:color w:val="FF0000"/>
                <w:sz w:val="20"/>
                <w:szCs w:val="20"/>
                <w:u w:val="single"/>
              </w:rPr>
              <w:t>.</w:t>
            </w:r>
            <w:r w:rsidRPr="00856652">
              <w:rPr>
                <w:rFonts w:ascii="Cambria" w:hAnsi="Cambria"/>
                <w:color w:val="FF0000"/>
                <w:sz w:val="20"/>
                <w:szCs w:val="20"/>
              </w:rPr>
              <w:t> </w:t>
            </w:r>
            <w:r w:rsidRPr="00583AEB">
              <w:rPr>
                <w:rFonts w:ascii="Cambria" w:hAnsi="Cambria"/>
                <w:b/>
                <w:bCs/>
                <w:color w:val="000000" w:themeColor="text1"/>
                <w:sz w:val="20"/>
                <w:szCs w:val="20"/>
              </w:rPr>
              <w:t>. </w:t>
            </w:r>
            <w:r w:rsidRPr="00583AEB">
              <w:rPr>
                <w:rFonts w:ascii="Cambria" w:hAnsi="Cambria"/>
                <w:sz w:val="20"/>
                <w:szCs w:val="20"/>
              </w:rPr>
              <w:t xml:space="preserve"> Los ingresos, costos, deducciones, activos y pasivos en moneda extranjera se medirán al momento de su reconocimiento inicial a la tasa representativa del mercado.</w:t>
            </w:r>
          </w:p>
          <w:p w:rsidR="00583AEB" w:rsidRPr="00583AEB" w:rsidRDefault="00583AEB" w:rsidP="00583AEB">
            <w:pPr>
              <w:jc w:val="both"/>
              <w:rPr>
                <w:rFonts w:ascii="Cambria" w:hAnsi="Cambria"/>
                <w:sz w:val="20"/>
                <w:szCs w:val="20"/>
              </w:rPr>
            </w:pPr>
          </w:p>
          <w:p w:rsidR="00583AEB" w:rsidRDefault="00583AEB" w:rsidP="00583AEB">
            <w:pPr>
              <w:jc w:val="both"/>
              <w:rPr>
                <w:rFonts w:ascii="Cambria" w:hAnsi="Cambria"/>
                <w:sz w:val="20"/>
                <w:szCs w:val="20"/>
              </w:rPr>
            </w:pPr>
            <w:r w:rsidRPr="00583AEB">
              <w:rPr>
                <w:rFonts w:ascii="Cambria" w:hAnsi="Cambria"/>
                <w:sz w:val="20"/>
                <w:szCs w:val="20"/>
              </w:rPr>
              <w:t>Las fluctuaciones de las partidas del estado de situación financiera, activos y pasivos, expresadas en moneda extranjera, no tendrán efectos fiscales sino hasta el momento de la enajenación o abono en el caso de los activos, o liquidación o pago parcial en el caso de los pasivos.</w:t>
            </w:r>
          </w:p>
          <w:p w:rsidR="00583AEB" w:rsidRPr="00583AEB" w:rsidRDefault="00583AEB" w:rsidP="00583AEB">
            <w:pPr>
              <w:jc w:val="both"/>
              <w:rPr>
                <w:rFonts w:ascii="Cambria" w:hAnsi="Cambria"/>
                <w:sz w:val="20"/>
                <w:szCs w:val="20"/>
              </w:rPr>
            </w:pPr>
          </w:p>
          <w:p w:rsidR="00583AEB" w:rsidRDefault="00583AEB" w:rsidP="00583AEB">
            <w:pPr>
              <w:jc w:val="both"/>
              <w:rPr>
                <w:rFonts w:ascii="Cambria" w:hAnsi="Cambria"/>
                <w:sz w:val="20"/>
                <w:szCs w:val="20"/>
              </w:rPr>
            </w:pPr>
            <w:r w:rsidRPr="00583AEB">
              <w:rPr>
                <w:rFonts w:ascii="Cambria" w:hAnsi="Cambria"/>
                <w:sz w:val="20"/>
                <w:szCs w:val="20"/>
              </w:rPr>
              <w:t>En los eventos de enajenación o abono, la liquidación o el pago parcial, según sea el caso, se reconocerá a la tasa representativa del mercado del reconocimiento inicial.</w:t>
            </w:r>
          </w:p>
          <w:p w:rsidR="00583AEB" w:rsidRPr="00583AEB" w:rsidRDefault="00583AEB" w:rsidP="00583AEB">
            <w:pPr>
              <w:jc w:val="both"/>
              <w:rPr>
                <w:rFonts w:ascii="Cambria" w:hAnsi="Cambria"/>
                <w:sz w:val="20"/>
                <w:szCs w:val="20"/>
              </w:rPr>
            </w:pPr>
          </w:p>
          <w:p w:rsidR="00583AEB" w:rsidRPr="00583AEB" w:rsidRDefault="00583AEB" w:rsidP="00583AEB">
            <w:pPr>
              <w:jc w:val="both"/>
              <w:rPr>
                <w:rFonts w:ascii="Cambria" w:hAnsi="Cambria"/>
                <w:sz w:val="20"/>
                <w:szCs w:val="20"/>
              </w:rPr>
            </w:pPr>
            <w:r w:rsidRPr="00583AEB">
              <w:rPr>
                <w:rFonts w:ascii="Cambria" w:hAnsi="Cambria"/>
                <w:sz w:val="20"/>
                <w:szCs w:val="20"/>
              </w:rPr>
              <w:lastRenderedPageBreak/>
              <w:t>El ingreso gravado, costo o gasto deducible en los abonos o pagos mencionados anteriormente corresponderá al que se genere por la diferencia entre la tasa representativa del mercado en el reconocimiento inicial y la tasa representativa del mercado en el momento del abono o pago.</w:t>
            </w:r>
          </w:p>
          <w:p w:rsidR="00583AEB" w:rsidRDefault="00583AEB" w:rsidP="00583AEB">
            <w:pPr>
              <w:jc w:val="both"/>
              <w:rPr>
                <w:rFonts w:ascii="Cambria" w:hAnsi="Cambria"/>
                <w:b/>
                <w:bCs/>
                <w:color w:val="000000" w:themeColor="text1"/>
                <w:sz w:val="20"/>
                <w:szCs w:val="20"/>
              </w:rPr>
            </w:pPr>
          </w:p>
          <w:p w:rsidR="00583AEB" w:rsidRDefault="00583AEB" w:rsidP="00583AEB">
            <w:pPr>
              <w:jc w:val="both"/>
              <w:rPr>
                <w:rFonts w:ascii="Cambria" w:hAnsi="Cambria"/>
                <w:sz w:val="20"/>
                <w:szCs w:val="20"/>
              </w:rPr>
            </w:pPr>
            <w:r w:rsidRPr="00583AEB">
              <w:rPr>
                <w:rFonts w:ascii="Cambria" w:hAnsi="Cambria"/>
                <w:b/>
                <w:bCs/>
                <w:sz w:val="20"/>
                <w:szCs w:val="20"/>
                <w:highlight w:val="yellow"/>
              </w:rPr>
              <w:t xml:space="preserve">Parágrafo. </w:t>
            </w:r>
            <w:r w:rsidRPr="00583AEB">
              <w:rPr>
                <w:rFonts w:ascii="Cambria" w:hAnsi="Cambria"/>
                <w:sz w:val="20"/>
                <w:szCs w:val="20"/>
                <w:highlight w:val="yellow"/>
              </w:rPr>
              <w:t>Lo previsto en el presente artículo aplica para los activos digitales.</w:t>
            </w:r>
            <w:r w:rsidRPr="00583AEB">
              <w:rPr>
                <w:rFonts w:ascii="Cambria" w:hAnsi="Cambria"/>
                <w:sz w:val="20"/>
                <w:szCs w:val="20"/>
              </w:rPr>
              <w:t xml:space="preserve"> </w:t>
            </w:r>
          </w:p>
          <w:p w:rsidR="00583AEB" w:rsidRPr="00583AEB" w:rsidRDefault="00583AEB" w:rsidP="00583AEB">
            <w:pPr>
              <w:rPr>
                <w:rFonts w:ascii="Cambria" w:hAnsi="Cambria"/>
                <w:b/>
                <w:bCs/>
                <w:color w:val="000000" w:themeColor="text1"/>
                <w:sz w:val="20"/>
                <w:szCs w:val="20"/>
              </w:rPr>
            </w:pPr>
          </w:p>
        </w:tc>
      </w:tr>
      <w:tr w:rsidR="001D6AD8" w:rsidTr="0059378C">
        <w:tc>
          <w:tcPr>
            <w:tcW w:w="4958" w:type="dxa"/>
          </w:tcPr>
          <w:p w:rsidR="001D6AD8" w:rsidRPr="001D6AD8" w:rsidRDefault="001D6AD8" w:rsidP="001D6AD8">
            <w:pPr>
              <w:jc w:val="both"/>
              <w:rPr>
                <w:rFonts w:ascii="Cambria" w:hAnsi="Cambria"/>
                <w:sz w:val="20"/>
                <w:szCs w:val="20"/>
                <w:lang w:val="es-ES"/>
              </w:rPr>
            </w:pPr>
            <w:bookmarkStart w:id="16" w:name="294-3"/>
            <w:r w:rsidRPr="001D6AD8">
              <w:rPr>
                <w:rFonts w:ascii="Cambria" w:hAnsi="Cambria"/>
                <w:b/>
                <w:bCs/>
                <w:sz w:val="20"/>
                <w:szCs w:val="20"/>
                <w:lang w:val="es-ES"/>
              </w:rPr>
              <w:lastRenderedPageBreak/>
              <w:t>Artículo 294-3. Hecho generador</w:t>
            </w:r>
            <w:r w:rsidRPr="001D6AD8">
              <w:rPr>
                <w:rFonts w:ascii="Cambria" w:hAnsi="Cambria"/>
                <w:sz w:val="20"/>
                <w:szCs w:val="20"/>
                <w:lang w:val="es-ES"/>
              </w:rPr>
              <w:t>.</w:t>
            </w:r>
            <w:bookmarkEnd w:id="16"/>
            <w:r w:rsidRPr="001D6AD8">
              <w:rPr>
                <w:rFonts w:ascii="Cambria" w:hAnsi="Cambria"/>
                <w:sz w:val="20"/>
                <w:szCs w:val="20"/>
                <w:lang w:val="es-ES"/>
              </w:rPr>
              <w:t xml:space="preserve">   El impuesto al patrimonio se genera por la posesión del mismo al primero (1) de enero de cada año, cuyo valor sea igual o superior a </w:t>
            </w:r>
            <w:r w:rsidRPr="001D6AD8">
              <w:rPr>
                <w:rFonts w:ascii="Cambria" w:hAnsi="Cambria"/>
                <w:sz w:val="20"/>
                <w:szCs w:val="20"/>
                <w:highlight w:val="yellow"/>
                <w:lang w:val="es-ES"/>
              </w:rPr>
              <w:t>setenta y dos mil (72.000)</w:t>
            </w:r>
            <w:r w:rsidRPr="001D6AD8">
              <w:rPr>
                <w:rFonts w:ascii="Cambria" w:hAnsi="Cambria"/>
                <w:sz w:val="20"/>
                <w:szCs w:val="20"/>
                <w:lang w:val="es-ES"/>
              </w:rPr>
              <w:t xml:space="preserve"> UVT. Para efectos de este gravamen, el concepto de patrimonio es equivalente al patrimonio líquido calculado tomando el total del patrimonio bruto del contribuyente poseído en la misma fecha menos las deudas a cargo del contribuyente vigentes en esa fecha.</w:t>
            </w:r>
          </w:p>
          <w:p w:rsidR="001D6AD8" w:rsidRPr="001D6AD8" w:rsidRDefault="001D6AD8" w:rsidP="001D6AD8">
            <w:pPr>
              <w:jc w:val="both"/>
              <w:rPr>
                <w:rFonts w:ascii="Cambria" w:hAnsi="Cambria"/>
                <w:sz w:val="20"/>
                <w:szCs w:val="20"/>
                <w:lang w:val="es-ES"/>
              </w:rPr>
            </w:pPr>
          </w:p>
        </w:tc>
        <w:tc>
          <w:tcPr>
            <w:tcW w:w="4865" w:type="dxa"/>
          </w:tcPr>
          <w:p w:rsidR="001D6AD8" w:rsidRPr="001D6AD8" w:rsidRDefault="001D6AD8" w:rsidP="001D6AD8">
            <w:pPr>
              <w:jc w:val="both"/>
              <w:rPr>
                <w:rFonts w:ascii="Cambria" w:hAnsi="Cambria"/>
                <w:sz w:val="20"/>
                <w:szCs w:val="20"/>
                <w:lang w:val="es-ES"/>
              </w:rPr>
            </w:pPr>
            <w:r w:rsidRPr="001D6AD8">
              <w:rPr>
                <w:rFonts w:ascii="Cambria" w:hAnsi="Cambria"/>
                <w:b/>
                <w:bCs/>
                <w:sz w:val="20"/>
                <w:szCs w:val="20"/>
                <w:lang w:val="es-ES"/>
              </w:rPr>
              <w:t>Artículo 294-3. Hecho generador</w:t>
            </w:r>
            <w:r w:rsidRPr="001D6AD8">
              <w:rPr>
                <w:rFonts w:ascii="Cambria" w:hAnsi="Cambria"/>
                <w:sz w:val="20"/>
                <w:szCs w:val="20"/>
                <w:lang w:val="es-ES"/>
              </w:rPr>
              <w:t>. </w:t>
            </w:r>
            <w:r w:rsidRPr="001D6AD8">
              <w:rPr>
                <w:rFonts w:ascii="Cambria" w:hAnsi="Cambria"/>
                <w:b/>
                <w:bCs/>
                <w:color w:val="FF0000"/>
                <w:sz w:val="20"/>
                <w:szCs w:val="20"/>
                <w:lang w:val="es-ES"/>
              </w:rPr>
              <w:t>(</w:t>
            </w:r>
            <w:r>
              <w:rPr>
                <w:rFonts w:ascii="Cambria" w:hAnsi="Cambria"/>
                <w:b/>
                <w:bCs/>
                <w:color w:val="FF0000"/>
                <w:sz w:val="20"/>
                <w:szCs w:val="20"/>
                <w:lang w:val="es-ES"/>
              </w:rPr>
              <w:t>modificado con</w:t>
            </w:r>
            <w:r w:rsidRPr="001D6AD8">
              <w:rPr>
                <w:rFonts w:ascii="Cambria" w:hAnsi="Cambria"/>
                <w:b/>
                <w:bCs/>
                <w:color w:val="FF0000"/>
                <w:sz w:val="20"/>
                <w:szCs w:val="20"/>
                <w:lang w:val="es-ES"/>
              </w:rPr>
              <w:t xml:space="preserve"> artículo 18 del proyecto de </w:t>
            </w:r>
            <w:r w:rsidR="00FB60A2">
              <w:rPr>
                <w:rFonts w:ascii="Cambria" w:hAnsi="Cambria"/>
                <w:b/>
                <w:bCs/>
                <w:color w:val="FF0000"/>
                <w:sz w:val="20"/>
                <w:szCs w:val="20"/>
                <w:lang w:val="es-ES"/>
              </w:rPr>
              <w:t>Ley de septiembre de 2025</w:t>
            </w:r>
            <w:r w:rsidRPr="001D6AD8">
              <w:rPr>
                <w:rFonts w:ascii="Cambria" w:hAnsi="Cambria"/>
                <w:sz w:val="20"/>
                <w:szCs w:val="20"/>
                <w:lang w:val="es-ES"/>
              </w:rPr>
              <w:t xml:space="preserve">). </w:t>
            </w:r>
            <w:r w:rsidRPr="001D6AD8">
              <w:rPr>
                <w:rFonts w:ascii="Cambria" w:hAnsi="Cambria"/>
                <w:sz w:val="20"/>
                <w:szCs w:val="20"/>
              </w:rPr>
              <w:t xml:space="preserve">El </w:t>
            </w:r>
            <w:r w:rsidRPr="001D6AD8">
              <w:rPr>
                <w:rFonts w:ascii="Cambria" w:hAnsi="Cambria"/>
                <w:sz w:val="20"/>
                <w:szCs w:val="20"/>
                <w:lang w:val="es-ES"/>
              </w:rPr>
              <w:t xml:space="preserve">impuesto al patrimonio </w:t>
            </w:r>
            <w:r w:rsidRPr="001D6AD8">
              <w:rPr>
                <w:rFonts w:ascii="Cambria" w:hAnsi="Cambria"/>
                <w:b/>
                <w:bCs/>
                <w:sz w:val="20"/>
                <w:szCs w:val="20"/>
                <w:highlight w:val="yellow"/>
                <w:u w:val="single"/>
                <w:lang w:val="es-ES"/>
              </w:rPr>
              <w:t>para los contribuyentes</w:t>
            </w:r>
            <w:r w:rsidRPr="001D6AD8">
              <w:rPr>
                <w:rFonts w:ascii="Cambria" w:hAnsi="Cambria"/>
                <w:sz w:val="20"/>
                <w:szCs w:val="20"/>
                <w:lang w:val="es-ES"/>
              </w:rPr>
              <w:t xml:space="preserve"> se genera por la posesión del mismo al primero (1) de enero de cada año, cuyo valor sea igual o superior a </w:t>
            </w:r>
            <w:r w:rsidRPr="001D6AD8">
              <w:rPr>
                <w:rFonts w:ascii="Cambria" w:hAnsi="Cambria"/>
                <w:sz w:val="20"/>
                <w:szCs w:val="20"/>
                <w:highlight w:val="yellow"/>
                <w:lang w:val="es-ES"/>
              </w:rPr>
              <w:t>cuarenta mil (40.000)</w:t>
            </w:r>
            <w:r w:rsidRPr="001D6AD8">
              <w:rPr>
                <w:rFonts w:ascii="Cambria" w:hAnsi="Cambria"/>
                <w:sz w:val="20"/>
                <w:szCs w:val="20"/>
                <w:lang w:val="es-ES"/>
              </w:rPr>
              <w:t xml:space="preserve"> UVT. Para efectos de este gravamen, el concepto de patrimonio es equivalente al patrimonio líquido calculado tomando el total del patrimonio bruto del contribuyente poseído en la misma fecha menos las deudas a cargo del contribuyente vigentes en esa fecha.</w:t>
            </w:r>
          </w:p>
          <w:p w:rsidR="001D6AD8" w:rsidRPr="001D6AD8" w:rsidRDefault="001D6AD8" w:rsidP="001D6AD8">
            <w:pPr>
              <w:jc w:val="both"/>
              <w:rPr>
                <w:rFonts w:ascii="Cambria" w:hAnsi="Cambria"/>
                <w:sz w:val="20"/>
                <w:szCs w:val="20"/>
                <w:lang w:val="es-ES"/>
              </w:rPr>
            </w:pPr>
          </w:p>
          <w:p w:rsidR="001D6AD8" w:rsidRPr="001D6AD8" w:rsidRDefault="001D6AD8" w:rsidP="001D6AD8">
            <w:pPr>
              <w:jc w:val="both"/>
              <w:rPr>
                <w:rFonts w:ascii="Cambria" w:hAnsi="Cambria"/>
                <w:color w:val="0070C0"/>
                <w:sz w:val="20"/>
                <w:szCs w:val="20"/>
              </w:rPr>
            </w:pPr>
          </w:p>
        </w:tc>
      </w:tr>
      <w:tr w:rsidR="001D6AD8" w:rsidTr="0059378C">
        <w:tc>
          <w:tcPr>
            <w:tcW w:w="4958" w:type="dxa"/>
          </w:tcPr>
          <w:p w:rsidR="001D6AD8" w:rsidRPr="001D6AD8" w:rsidRDefault="001D6AD8" w:rsidP="001D6AD8">
            <w:pPr>
              <w:jc w:val="both"/>
              <w:rPr>
                <w:rFonts w:ascii="Cambria" w:hAnsi="Cambria"/>
                <w:sz w:val="20"/>
                <w:szCs w:val="20"/>
              </w:rPr>
            </w:pPr>
            <w:r w:rsidRPr="001D6AD8">
              <w:rPr>
                <w:rFonts w:ascii="Cambria" w:hAnsi="Cambria"/>
                <w:b/>
                <w:bCs/>
                <w:sz w:val="20"/>
                <w:szCs w:val="20"/>
              </w:rPr>
              <w:t xml:space="preserve">Artículo 296-3. Tarifa </w:t>
            </w:r>
            <w:r w:rsidRPr="001D6AD8">
              <w:rPr>
                <w:rFonts w:ascii="Cambria" w:hAnsi="Cambria"/>
                <w:sz w:val="20"/>
                <w:szCs w:val="20"/>
              </w:rPr>
              <w:t>El impuesto al patrimonio se determinará de acuerdo con la siguiente tabla: </w:t>
            </w:r>
          </w:p>
          <w:p w:rsidR="001D6AD8" w:rsidRPr="001D6AD8" w:rsidRDefault="001D6AD8" w:rsidP="001D6AD8">
            <w:pPr>
              <w:jc w:val="both"/>
              <w:rPr>
                <w:rFonts w:ascii="Cambria" w:hAnsi="Cambria"/>
                <w:sz w:val="20"/>
                <w:szCs w:val="20"/>
              </w:rPr>
            </w:pPr>
          </w:p>
          <w:p w:rsidR="001D6AD8" w:rsidRPr="001D6AD8" w:rsidRDefault="001D6AD8" w:rsidP="001D6AD8">
            <w:pPr>
              <w:jc w:val="both"/>
              <w:rPr>
                <w:rFonts w:ascii="Cambria" w:hAnsi="Cambria"/>
                <w:sz w:val="20"/>
                <w:szCs w:val="20"/>
              </w:rPr>
            </w:pPr>
          </w:p>
          <w:tbl>
            <w:tblPr>
              <w:tblStyle w:val="Tablaconcuadrcula"/>
              <w:tblW w:w="0" w:type="auto"/>
              <w:tblInd w:w="325" w:type="dxa"/>
              <w:tblLook w:val="04A0" w:firstRow="1" w:lastRow="0" w:firstColumn="1" w:lastColumn="0" w:noHBand="0" w:noVBand="1"/>
            </w:tblPr>
            <w:tblGrid>
              <w:gridCol w:w="1033"/>
              <w:gridCol w:w="951"/>
              <w:gridCol w:w="992"/>
              <w:gridCol w:w="1134"/>
            </w:tblGrid>
            <w:tr w:rsidR="001D6AD8" w:rsidRPr="001D6AD8" w:rsidTr="009708F4">
              <w:tc>
                <w:tcPr>
                  <w:tcW w:w="1873" w:type="dxa"/>
                  <w:gridSpan w:val="2"/>
                </w:tcPr>
                <w:p w:rsidR="001D6AD8" w:rsidRPr="001D6AD8" w:rsidRDefault="001D6AD8" w:rsidP="001D6AD8">
                  <w:pPr>
                    <w:jc w:val="center"/>
                    <w:rPr>
                      <w:rFonts w:ascii="Cambria" w:hAnsi="Cambria"/>
                      <w:sz w:val="20"/>
                      <w:szCs w:val="20"/>
                      <w:highlight w:val="yellow"/>
                    </w:rPr>
                  </w:pPr>
                  <w:r w:rsidRPr="001D6AD8">
                    <w:rPr>
                      <w:rFonts w:ascii="Cambria" w:hAnsi="Cambria"/>
                      <w:sz w:val="20"/>
                      <w:szCs w:val="20"/>
                      <w:highlight w:val="yellow"/>
                    </w:rPr>
                    <w:t>Rangos UVT</w:t>
                  </w:r>
                </w:p>
              </w:tc>
              <w:tc>
                <w:tcPr>
                  <w:tcW w:w="992"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Tarifa Marginal</w:t>
                  </w:r>
                </w:p>
              </w:tc>
              <w:tc>
                <w:tcPr>
                  <w:tcW w:w="1134"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Impuesto</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 xml:space="preserve">Desde </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Hasta</w:t>
                  </w:r>
                </w:p>
              </w:tc>
              <w:tc>
                <w:tcPr>
                  <w:tcW w:w="992" w:type="dxa"/>
                  <w:vMerge/>
                </w:tcPr>
                <w:p w:rsidR="001D6AD8" w:rsidRPr="001D6AD8" w:rsidRDefault="001D6AD8" w:rsidP="001D6AD8">
                  <w:pPr>
                    <w:jc w:val="both"/>
                    <w:rPr>
                      <w:rFonts w:ascii="Cambria" w:hAnsi="Cambria"/>
                      <w:sz w:val="20"/>
                      <w:szCs w:val="20"/>
                      <w:highlight w:val="yellow"/>
                    </w:rPr>
                  </w:pPr>
                </w:p>
              </w:tc>
              <w:tc>
                <w:tcPr>
                  <w:tcW w:w="1134" w:type="dxa"/>
                  <w:vMerge/>
                </w:tcPr>
                <w:p w:rsidR="001D6AD8" w:rsidRPr="001D6AD8" w:rsidRDefault="001D6AD8" w:rsidP="001D6AD8">
                  <w:pPr>
                    <w:jc w:val="both"/>
                    <w:rPr>
                      <w:rFonts w:ascii="Cambria" w:hAnsi="Cambria"/>
                      <w:sz w:val="20"/>
                      <w:szCs w:val="20"/>
                      <w:highlight w:val="yellow"/>
                    </w:rPr>
                  </w:pPr>
                </w:p>
              </w:tc>
            </w:tr>
            <w:tr w:rsidR="001D6AD8" w:rsidRPr="001D6AD8" w:rsidTr="009708F4">
              <w:tc>
                <w:tcPr>
                  <w:tcW w:w="924" w:type="dxa"/>
                </w:tcPr>
                <w:p w:rsidR="001D6AD8" w:rsidRPr="001D6AD8" w:rsidRDefault="001D6AD8" w:rsidP="001D6AD8">
                  <w:pPr>
                    <w:jc w:val="both"/>
                    <w:rPr>
                      <w:rFonts w:ascii="Cambria" w:hAnsi="Cambria"/>
                      <w:sz w:val="20"/>
                      <w:szCs w:val="20"/>
                      <w:highlight w:val="yellow"/>
                      <w:lang w:val="en-US"/>
                    </w:rPr>
                  </w:pPr>
                  <w:r w:rsidRPr="001D6AD8">
                    <w:rPr>
                      <w:rFonts w:ascii="Cambria" w:hAnsi="Cambria"/>
                      <w:sz w:val="20"/>
                      <w:szCs w:val="20"/>
                      <w:highlight w:val="yellow"/>
                      <w:lang w:val="en-US"/>
                    </w:rPr>
                    <w:t>&gt;0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72.000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0,0%</w:t>
                  </w:r>
                </w:p>
              </w:tc>
              <w:tc>
                <w:tcPr>
                  <w:tcW w:w="113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&gt;72.000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122.000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0,5%</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72.000 UVT) x 0,5% </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&gt;122.000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239.000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122.000 UVT) x 1,0% + 250 UVT </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&gt;239.000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En adelante</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1,5%</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239.000 UVT) x 1,5% + 1.420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lastRenderedPageBreak/>
                    <w:t>UVT </w:t>
                  </w:r>
                </w:p>
              </w:tc>
            </w:tr>
          </w:tbl>
          <w:p w:rsidR="001D6AD8" w:rsidRPr="001D6AD8" w:rsidRDefault="001D6AD8" w:rsidP="001D6AD8">
            <w:pPr>
              <w:rPr>
                <w:rFonts w:ascii="Cambria" w:hAnsi="Cambria"/>
                <w:sz w:val="20"/>
                <w:szCs w:val="20"/>
                <w:highlight w:val="yellow"/>
              </w:rPr>
            </w:pPr>
          </w:p>
          <w:p w:rsidR="001D6AD8" w:rsidRPr="001D6AD8" w:rsidRDefault="001D6AD8" w:rsidP="001D6AD8">
            <w:pPr>
              <w:jc w:val="both"/>
              <w:rPr>
                <w:rFonts w:ascii="Cambria" w:hAnsi="Cambria" w:cs="Arial"/>
                <w:sz w:val="20"/>
                <w:szCs w:val="20"/>
                <w:highlight w:val="yellow"/>
              </w:rPr>
            </w:pPr>
            <w:r w:rsidRPr="001D6AD8">
              <w:rPr>
                <w:rFonts w:ascii="Cambria" w:hAnsi="Cambria" w:cs="Arial"/>
                <w:b/>
                <w:bCs/>
                <w:sz w:val="20"/>
                <w:szCs w:val="20"/>
                <w:highlight w:val="yellow"/>
              </w:rPr>
              <w:t xml:space="preserve">PARÁGRAFO. </w:t>
            </w:r>
            <w:r w:rsidRPr="001D6AD8">
              <w:rPr>
                <w:rFonts w:ascii="Cambria" w:hAnsi="Cambria" w:cs="Arial"/>
                <w:sz w:val="20"/>
                <w:szCs w:val="20"/>
                <w:highlight w:val="yellow"/>
              </w:rPr>
              <w:t>La tarifa del 1,5% sólo aplicará de manera temporal durante los años 2023, 2024, 2025 y 2026. A partir del año 2027, aplicará la siguiente tabla: </w:t>
            </w:r>
          </w:p>
          <w:p w:rsidR="001D6AD8" w:rsidRPr="001D6AD8" w:rsidRDefault="001D6AD8" w:rsidP="001D6AD8">
            <w:pPr>
              <w:rPr>
                <w:rFonts w:ascii="Cambria" w:hAnsi="Cambria"/>
                <w:sz w:val="20"/>
                <w:szCs w:val="20"/>
                <w:highlight w:val="yellow"/>
              </w:rPr>
            </w:pPr>
          </w:p>
          <w:tbl>
            <w:tblPr>
              <w:tblStyle w:val="Tablaconcuadrcula"/>
              <w:tblW w:w="0" w:type="auto"/>
              <w:tblInd w:w="325" w:type="dxa"/>
              <w:tblLook w:val="04A0" w:firstRow="1" w:lastRow="0" w:firstColumn="1" w:lastColumn="0" w:noHBand="0" w:noVBand="1"/>
            </w:tblPr>
            <w:tblGrid>
              <w:gridCol w:w="1033"/>
              <w:gridCol w:w="949"/>
              <w:gridCol w:w="992"/>
              <w:gridCol w:w="1134"/>
            </w:tblGrid>
            <w:tr w:rsidR="001D6AD8" w:rsidRPr="001D6AD8" w:rsidTr="009708F4">
              <w:tc>
                <w:tcPr>
                  <w:tcW w:w="1873" w:type="dxa"/>
                  <w:gridSpan w:val="2"/>
                </w:tcPr>
                <w:p w:rsidR="001D6AD8" w:rsidRPr="001D6AD8" w:rsidRDefault="001D6AD8" w:rsidP="001D6AD8">
                  <w:pPr>
                    <w:jc w:val="center"/>
                    <w:rPr>
                      <w:rFonts w:ascii="Cambria" w:hAnsi="Cambria"/>
                      <w:sz w:val="20"/>
                      <w:szCs w:val="20"/>
                      <w:highlight w:val="yellow"/>
                    </w:rPr>
                  </w:pPr>
                  <w:r w:rsidRPr="001D6AD8">
                    <w:rPr>
                      <w:rFonts w:ascii="Cambria" w:hAnsi="Cambria"/>
                      <w:sz w:val="20"/>
                      <w:szCs w:val="20"/>
                      <w:highlight w:val="yellow"/>
                    </w:rPr>
                    <w:t>Rangos UVT</w:t>
                  </w:r>
                </w:p>
              </w:tc>
              <w:tc>
                <w:tcPr>
                  <w:tcW w:w="992"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Tarifa Marginal</w:t>
                  </w:r>
                </w:p>
              </w:tc>
              <w:tc>
                <w:tcPr>
                  <w:tcW w:w="1134"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Impuesto</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 xml:space="preserve">Desde </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Hasta</w:t>
                  </w:r>
                </w:p>
              </w:tc>
              <w:tc>
                <w:tcPr>
                  <w:tcW w:w="992" w:type="dxa"/>
                  <w:vMerge/>
                </w:tcPr>
                <w:p w:rsidR="001D6AD8" w:rsidRPr="001D6AD8" w:rsidRDefault="001D6AD8" w:rsidP="001D6AD8">
                  <w:pPr>
                    <w:jc w:val="both"/>
                    <w:rPr>
                      <w:rFonts w:ascii="Cambria" w:hAnsi="Cambria"/>
                      <w:sz w:val="20"/>
                      <w:szCs w:val="20"/>
                      <w:highlight w:val="yellow"/>
                    </w:rPr>
                  </w:pPr>
                </w:p>
              </w:tc>
              <w:tc>
                <w:tcPr>
                  <w:tcW w:w="1134" w:type="dxa"/>
                  <w:vMerge/>
                </w:tcPr>
                <w:p w:rsidR="001D6AD8" w:rsidRPr="001D6AD8" w:rsidRDefault="001D6AD8" w:rsidP="001D6AD8">
                  <w:pPr>
                    <w:jc w:val="both"/>
                    <w:rPr>
                      <w:rFonts w:ascii="Cambria" w:hAnsi="Cambria"/>
                      <w:sz w:val="20"/>
                      <w:szCs w:val="20"/>
                      <w:highlight w:val="yellow"/>
                    </w:rPr>
                  </w:pPr>
                </w:p>
              </w:tc>
            </w:tr>
            <w:tr w:rsidR="001D6AD8" w:rsidRPr="001D6AD8" w:rsidTr="009708F4">
              <w:tc>
                <w:tcPr>
                  <w:tcW w:w="924" w:type="dxa"/>
                </w:tcPr>
                <w:p w:rsidR="001D6AD8" w:rsidRPr="001D6AD8" w:rsidRDefault="001D6AD8" w:rsidP="001D6AD8">
                  <w:pPr>
                    <w:jc w:val="both"/>
                    <w:rPr>
                      <w:rFonts w:ascii="Cambria" w:hAnsi="Cambria"/>
                      <w:sz w:val="20"/>
                      <w:szCs w:val="20"/>
                      <w:highlight w:val="yellow"/>
                      <w:lang w:val="en-US"/>
                    </w:rPr>
                  </w:pPr>
                  <w:r w:rsidRPr="001D6AD8">
                    <w:rPr>
                      <w:rFonts w:ascii="Cambria" w:hAnsi="Cambria"/>
                      <w:sz w:val="20"/>
                      <w:szCs w:val="20"/>
                      <w:highlight w:val="yellow"/>
                      <w:lang w:val="en-US"/>
                    </w:rPr>
                    <w:t>&gt;0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72.000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0,0%</w:t>
                  </w:r>
                </w:p>
              </w:tc>
              <w:tc>
                <w:tcPr>
                  <w:tcW w:w="113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&gt;72.000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122.000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0,5%</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72.000 UVT) x 0,5% </w:t>
                  </w:r>
                </w:p>
              </w:tc>
            </w:tr>
            <w:tr w:rsidR="001D6AD8" w:rsidRPr="001D6AD8" w:rsidTr="009708F4">
              <w:tc>
                <w:tcPr>
                  <w:tcW w:w="92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&gt;122.000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239.000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rPr>
                  </w:pPr>
                  <w:r w:rsidRPr="001D6AD8">
                    <w:rPr>
                      <w:rFonts w:ascii="Cambria" w:hAnsi="Cambria" w:cs="Arial"/>
                      <w:sz w:val="20"/>
                      <w:szCs w:val="20"/>
                      <w:highlight w:val="yellow"/>
                    </w:rPr>
                    <w:t>122.000 UVT) x 1,0% + 250 UVT</w:t>
                  </w:r>
                  <w:r w:rsidRPr="001D6AD8">
                    <w:rPr>
                      <w:rFonts w:ascii="Cambria" w:hAnsi="Cambria" w:cs="Arial"/>
                      <w:sz w:val="20"/>
                      <w:szCs w:val="20"/>
                    </w:rPr>
                    <w:t> </w:t>
                  </w:r>
                </w:p>
              </w:tc>
            </w:tr>
          </w:tbl>
          <w:p w:rsidR="001D6AD8" w:rsidRPr="001D6AD8" w:rsidRDefault="001D6AD8" w:rsidP="001D6AD8">
            <w:pPr>
              <w:rPr>
                <w:rFonts w:ascii="Cambria" w:hAnsi="Cambria"/>
                <w:sz w:val="20"/>
                <w:szCs w:val="20"/>
              </w:rPr>
            </w:pPr>
          </w:p>
          <w:p w:rsidR="001D6AD8" w:rsidRPr="001D6AD8" w:rsidRDefault="001D6AD8" w:rsidP="001D6AD8">
            <w:pPr>
              <w:rPr>
                <w:rFonts w:ascii="Cambria" w:hAnsi="Cambria"/>
                <w:color w:val="0070C0"/>
                <w:sz w:val="20"/>
                <w:szCs w:val="20"/>
              </w:rPr>
            </w:pPr>
          </w:p>
        </w:tc>
        <w:tc>
          <w:tcPr>
            <w:tcW w:w="4865" w:type="dxa"/>
          </w:tcPr>
          <w:p w:rsidR="001D6AD8" w:rsidRPr="001D6AD8" w:rsidRDefault="001D6AD8" w:rsidP="001D6AD8">
            <w:pPr>
              <w:jc w:val="both"/>
              <w:rPr>
                <w:rFonts w:ascii="Cambria" w:hAnsi="Cambria"/>
                <w:sz w:val="20"/>
                <w:szCs w:val="20"/>
              </w:rPr>
            </w:pPr>
            <w:r w:rsidRPr="001D6AD8">
              <w:rPr>
                <w:rFonts w:ascii="Cambria" w:hAnsi="Cambria"/>
                <w:b/>
                <w:bCs/>
                <w:sz w:val="20"/>
                <w:szCs w:val="20"/>
              </w:rPr>
              <w:lastRenderedPageBreak/>
              <w:t xml:space="preserve">Artículo 296-3. Tarifa </w:t>
            </w:r>
            <w:r w:rsidRPr="001D6AD8">
              <w:rPr>
                <w:rFonts w:ascii="Cambria" w:hAnsi="Cambria"/>
                <w:b/>
                <w:bCs/>
                <w:color w:val="FF0000"/>
                <w:sz w:val="20"/>
                <w:szCs w:val="20"/>
                <w:lang w:val="es-ES"/>
              </w:rPr>
              <w:t>(versión con que quedaría de acuerdo con el artículo 19 del proyecto de Ley</w:t>
            </w:r>
            <w:r w:rsidR="00FB60A2">
              <w:rPr>
                <w:rFonts w:ascii="Cambria" w:hAnsi="Cambria"/>
                <w:b/>
                <w:bCs/>
                <w:color w:val="FF0000"/>
                <w:sz w:val="20"/>
                <w:szCs w:val="20"/>
                <w:lang w:val="es-ES"/>
              </w:rPr>
              <w:t xml:space="preserve"> de septiembre de 2025</w:t>
            </w:r>
            <w:r w:rsidRPr="001D6AD8">
              <w:rPr>
                <w:rFonts w:ascii="Cambria" w:hAnsi="Cambria"/>
                <w:b/>
                <w:bCs/>
                <w:color w:val="FF0000"/>
                <w:sz w:val="20"/>
                <w:szCs w:val="20"/>
                <w:lang w:val="es-ES"/>
              </w:rPr>
              <w:t>)</w:t>
            </w:r>
            <w:r w:rsidRPr="001D6AD8">
              <w:rPr>
                <w:rFonts w:ascii="Cambria" w:hAnsi="Cambria"/>
                <w:sz w:val="20"/>
                <w:szCs w:val="20"/>
              </w:rPr>
              <w:t xml:space="preserve"> El impuesto al patrimonio se determinará de acuerdo con la siguiente tabla: </w:t>
            </w:r>
          </w:p>
          <w:p w:rsidR="001D6AD8" w:rsidRPr="001D6AD8" w:rsidRDefault="001D6AD8" w:rsidP="001D6AD8">
            <w:pPr>
              <w:jc w:val="both"/>
              <w:rPr>
                <w:rFonts w:ascii="Cambria" w:hAnsi="Cambria"/>
                <w:sz w:val="20"/>
                <w:szCs w:val="20"/>
              </w:rPr>
            </w:pPr>
          </w:p>
          <w:p w:rsidR="001D6AD8" w:rsidRPr="001D6AD8" w:rsidRDefault="001D6AD8" w:rsidP="001D6AD8">
            <w:pPr>
              <w:jc w:val="both"/>
              <w:rPr>
                <w:rFonts w:ascii="Cambria" w:hAnsi="Cambria"/>
                <w:sz w:val="20"/>
                <w:szCs w:val="20"/>
              </w:rPr>
            </w:pPr>
          </w:p>
          <w:tbl>
            <w:tblPr>
              <w:tblStyle w:val="Tablaconcuadrcula"/>
              <w:tblW w:w="0" w:type="auto"/>
              <w:tblInd w:w="325" w:type="dxa"/>
              <w:tblLook w:val="04A0" w:firstRow="1" w:lastRow="0" w:firstColumn="1" w:lastColumn="0" w:noHBand="0" w:noVBand="1"/>
            </w:tblPr>
            <w:tblGrid>
              <w:gridCol w:w="1074"/>
              <w:gridCol w:w="1074"/>
              <w:gridCol w:w="992"/>
              <w:gridCol w:w="1134"/>
            </w:tblGrid>
            <w:tr w:rsidR="001D6AD8" w:rsidRPr="001D6AD8" w:rsidTr="009708F4">
              <w:tc>
                <w:tcPr>
                  <w:tcW w:w="1873" w:type="dxa"/>
                  <w:gridSpan w:val="2"/>
                </w:tcPr>
                <w:p w:rsidR="001D6AD8" w:rsidRPr="001D6AD8" w:rsidRDefault="001D6AD8" w:rsidP="001D6AD8">
                  <w:pPr>
                    <w:jc w:val="center"/>
                    <w:rPr>
                      <w:rFonts w:ascii="Cambria" w:hAnsi="Cambria"/>
                      <w:sz w:val="20"/>
                      <w:szCs w:val="20"/>
                      <w:highlight w:val="yellow"/>
                    </w:rPr>
                  </w:pPr>
                  <w:r w:rsidRPr="001D6AD8">
                    <w:rPr>
                      <w:rFonts w:ascii="Cambria" w:hAnsi="Cambria"/>
                      <w:sz w:val="20"/>
                      <w:szCs w:val="20"/>
                      <w:highlight w:val="yellow"/>
                    </w:rPr>
                    <w:t>Rangos UVT</w:t>
                  </w:r>
                </w:p>
              </w:tc>
              <w:tc>
                <w:tcPr>
                  <w:tcW w:w="992"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Tarifa Marginal</w:t>
                  </w:r>
                </w:p>
              </w:tc>
              <w:tc>
                <w:tcPr>
                  <w:tcW w:w="1134" w:type="dxa"/>
                  <w:vMerge w:val="restart"/>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Impuesto</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t xml:space="preserve">Desde </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Hasta</w:t>
                  </w:r>
                </w:p>
              </w:tc>
              <w:tc>
                <w:tcPr>
                  <w:tcW w:w="992" w:type="dxa"/>
                  <w:vMerge/>
                </w:tcPr>
                <w:p w:rsidR="001D6AD8" w:rsidRPr="001D6AD8" w:rsidRDefault="001D6AD8" w:rsidP="001D6AD8">
                  <w:pPr>
                    <w:jc w:val="both"/>
                    <w:rPr>
                      <w:rFonts w:ascii="Cambria" w:hAnsi="Cambria"/>
                      <w:sz w:val="20"/>
                      <w:szCs w:val="20"/>
                      <w:highlight w:val="yellow"/>
                    </w:rPr>
                  </w:pPr>
                </w:p>
              </w:tc>
              <w:tc>
                <w:tcPr>
                  <w:tcW w:w="1134" w:type="dxa"/>
                  <w:vMerge/>
                </w:tcPr>
                <w:p w:rsidR="001D6AD8" w:rsidRPr="001D6AD8" w:rsidRDefault="001D6AD8" w:rsidP="001D6AD8">
                  <w:pPr>
                    <w:jc w:val="both"/>
                    <w:rPr>
                      <w:rFonts w:ascii="Cambria" w:hAnsi="Cambria"/>
                      <w:sz w:val="20"/>
                      <w:szCs w:val="20"/>
                      <w:highlight w:val="yellow"/>
                    </w:rPr>
                  </w:pPr>
                </w:p>
              </w:tc>
            </w:tr>
            <w:tr w:rsidR="001D6AD8" w:rsidRPr="001D6AD8" w:rsidTr="009708F4">
              <w:tc>
                <w:tcPr>
                  <w:tcW w:w="924" w:type="dxa"/>
                </w:tcPr>
                <w:p w:rsidR="001D6AD8" w:rsidRPr="001D6AD8" w:rsidRDefault="001D6AD8" w:rsidP="001D6AD8">
                  <w:pPr>
                    <w:jc w:val="both"/>
                    <w:rPr>
                      <w:rFonts w:ascii="Cambria" w:hAnsi="Cambria"/>
                      <w:sz w:val="20"/>
                      <w:szCs w:val="20"/>
                      <w:lang w:val="en-US"/>
                    </w:rPr>
                  </w:pPr>
                  <w:r w:rsidRPr="001D6AD8">
                    <w:rPr>
                      <w:rFonts w:ascii="Cambria" w:hAnsi="Cambria"/>
                      <w:sz w:val="20"/>
                      <w:szCs w:val="20"/>
                      <w:lang w:val="en-US"/>
                    </w:rPr>
                    <w:t>&gt;0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40.000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0,0%</w:t>
                  </w:r>
                </w:p>
              </w:tc>
              <w:tc>
                <w:tcPr>
                  <w:tcW w:w="1134"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t>&gt;40.000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70.000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0,5%</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40.000 UVT) x 0,5% </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t>&gt;70.000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120.000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1,0%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70.000 UVT) x 1,0% + 150 UVT </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t>&gt;120.000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240.000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2,0%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 xml:space="preserve">(Base Gravable en UVT menos 120.000 UVT) x </w:t>
                  </w:r>
                  <w:r w:rsidRPr="001D6AD8">
                    <w:rPr>
                      <w:rFonts w:ascii="Cambria" w:hAnsi="Cambria" w:cs="Arial"/>
                      <w:sz w:val="20"/>
                      <w:szCs w:val="20"/>
                      <w:highlight w:val="yellow"/>
                    </w:rPr>
                    <w:lastRenderedPageBreak/>
                    <w:t>2,0% + 650 </w:t>
                  </w:r>
                </w:p>
                <w:p w:rsidR="001D6AD8" w:rsidRPr="001D6AD8" w:rsidRDefault="001D6AD8" w:rsidP="001D6AD8">
                  <w:pPr>
                    <w:jc w:val="both"/>
                    <w:rPr>
                      <w:rFonts w:ascii="Cambria" w:hAnsi="Cambria"/>
                      <w:sz w:val="20"/>
                      <w:szCs w:val="20"/>
                      <w:highlight w:val="yellow"/>
                    </w:rPr>
                  </w:pPr>
                  <w:r w:rsidRPr="001D6AD8">
                    <w:rPr>
                      <w:rFonts w:ascii="Cambria" w:hAnsi="Cambria" w:cs="Arial"/>
                      <w:sz w:val="20"/>
                      <w:szCs w:val="20"/>
                      <w:highlight w:val="yellow"/>
                    </w:rPr>
                    <w:t>UVT </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lastRenderedPageBreak/>
                    <w:t>240.000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2.000.000</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3,0%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240.000 UVT) x 3,0% + 3.050 </w:t>
                  </w:r>
                </w:p>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UVT </w:t>
                  </w:r>
                </w:p>
              </w:tc>
            </w:tr>
            <w:tr w:rsidR="001D6AD8" w:rsidRPr="001D6AD8" w:rsidTr="009708F4">
              <w:tc>
                <w:tcPr>
                  <w:tcW w:w="924" w:type="dxa"/>
                </w:tcPr>
                <w:p w:rsidR="001D6AD8" w:rsidRPr="001D6AD8" w:rsidRDefault="001D6AD8" w:rsidP="001D6AD8">
                  <w:pPr>
                    <w:jc w:val="both"/>
                    <w:rPr>
                      <w:rFonts w:ascii="Cambria" w:hAnsi="Cambria"/>
                      <w:sz w:val="20"/>
                      <w:szCs w:val="20"/>
                    </w:rPr>
                  </w:pPr>
                  <w:r w:rsidRPr="001D6AD8">
                    <w:rPr>
                      <w:rFonts w:ascii="Cambria" w:hAnsi="Cambria"/>
                      <w:sz w:val="20"/>
                      <w:szCs w:val="20"/>
                    </w:rPr>
                    <w:t>2.000.000</w:t>
                  </w:r>
                </w:p>
              </w:tc>
              <w:tc>
                <w:tcPr>
                  <w:tcW w:w="949"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En adelante</w:t>
                  </w:r>
                </w:p>
              </w:tc>
              <w:tc>
                <w:tcPr>
                  <w:tcW w:w="992" w:type="dxa"/>
                </w:tcPr>
                <w:p w:rsidR="001D6AD8" w:rsidRPr="001D6AD8" w:rsidRDefault="001D6AD8" w:rsidP="001D6AD8">
                  <w:pPr>
                    <w:jc w:val="both"/>
                    <w:rPr>
                      <w:rFonts w:ascii="Cambria" w:hAnsi="Cambria"/>
                      <w:sz w:val="20"/>
                      <w:szCs w:val="20"/>
                      <w:highlight w:val="yellow"/>
                    </w:rPr>
                  </w:pPr>
                  <w:r w:rsidRPr="001D6AD8">
                    <w:rPr>
                      <w:rFonts w:ascii="Cambria" w:hAnsi="Cambria"/>
                      <w:sz w:val="20"/>
                      <w:szCs w:val="20"/>
                      <w:highlight w:val="yellow"/>
                    </w:rPr>
                    <w:t>5,0%</w:t>
                  </w:r>
                </w:p>
              </w:tc>
              <w:tc>
                <w:tcPr>
                  <w:tcW w:w="1134" w:type="dxa"/>
                </w:tcPr>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(Base Gravable en UVT menos 2.000.000 UVT) x 5,0% + 55.850 </w:t>
                  </w:r>
                </w:p>
                <w:p w:rsidR="001D6AD8" w:rsidRPr="001D6AD8" w:rsidRDefault="001D6AD8" w:rsidP="001D6AD8">
                  <w:pPr>
                    <w:jc w:val="both"/>
                    <w:rPr>
                      <w:rFonts w:ascii="Cambria" w:hAnsi="Cambria" w:cs="Arial"/>
                      <w:sz w:val="20"/>
                      <w:szCs w:val="20"/>
                      <w:highlight w:val="yellow"/>
                    </w:rPr>
                  </w:pPr>
                  <w:r w:rsidRPr="001D6AD8">
                    <w:rPr>
                      <w:rFonts w:ascii="Cambria" w:hAnsi="Cambria" w:cs="Arial"/>
                      <w:sz w:val="20"/>
                      <w:szCs w:val="20"/>
                      <w:highlight w:val="yellow"/>
                    </w:rPr>
                    <w:t>UVT </w:t>
                  </w:r>
                </w:p>
              </w:tc>
            </w:tr>
          </w:tbl>
          <w:p w:rsidR="001D6AD8" w:rsidRPr="001D6AD8" w:rsidRDefault="001D6AD8" w:rsidP="001D6AD8">
            <w:pPr>
              <w:rPr>
                <w:rFonts w:ascii="Cambria" w:hAnsi="Cambria"/>
                <w:sz w:val="20"/>
                <w:szCs w:val="20"/>
              </w:rPr>
            </w:pPr>
          </w:p>
          <w:p w:rsidR="001D6AD8" w:rsidRPr="001D6AD8" w:rsidRDefault="001D6AD8" w:rsidP="001D6AD8">
            <w:pPr>
              <w:rPr>
                <w:rFonts w:ascii="Cambria" w:hAnsi="Cambria"/>
                <w:sz w:val="20"/>
                <w:szCs w:val="20"/>
              </w:rPr>
            </w:pPr>
          </w:p>
          <w:p w:rsidR="001D6AD8" w:rsidRPr="001D6AD8" w:rsidRDefault="001D6AD8" w:rsidP="001D6AD8">
            <w:pPr>
              <w:rPr>
                <w:rFonts w:ascii="Cambria" w:hAnsi="Cambria"/>
                <w:color w:val="0070C0"/>
                <w:sz w:val="20"/>
                <w:szCs w:val="20"/>
              </w:rPr>
            </w:pPr>
          </w:p>
        </w:tc>
      </w:tr>
      <w:tr w:rsidR="00583AEB" w:rsidTr="0059378C">
        <w:tc>
          <w:tcPr>
            <w:tcW w:w="4958" w:type="dxa"/>
          </w:tcPr>
          <w:p w:rsidR="00583AEB" w:rsidRPr="006C524F" w:rsidRDefault="00583AEB" w:rsidP="00583AEB">
            <w:pPr>
              <w:jc w:val="both"/>
              <w:rPr>
                <w:rFonts w:ascii="Cambria" w:hAnsi="Cambria"/>
                <w:color w:val="000000" w:themeColor="text1"/>
                <w:sz w:val="20"/>
                <w:szCs w:val="20"/>
              </w:rPr>
            </w:pPr>
            <w:r>
              <w:rPr>
                <w:rFonts w:ascii="Cambria" w:hAnsi="Cambria"/>
                <w:b/>
                <w:bCs/>
                <w:color w:val="000000" w:themeColor="text1"/>
                <w:sz w:val="20"/>
                <w:szCs w:val="20"/>
              </w:rPr>
              <w:lastRenderedPageBreak/>
              <w:t xml:space="preserve"> </w:t>
            </w:r>
            <w:r w:rsidRPr="006C524F">
              <w:rPr>
                <w:rFonts w:ascii="Cambria" w:hAnsi="Cambria"/>
                <w:b/>
                <w:bCs/>
                <w:color w:val="000000" w:themeColor="text1"/>
                <w:sz w:val="20"/>
                <w:szCs w:val="20"/>
              </w:rPr>
              <w:t>Articulo 300. Se determina por la diferencia entre el precio de enajenación y el costo fiscal del activo</w:t>
            </w:r>
            <w:r w:rsidRPr="006C524F">
              <w:rPr>
                <w:rFonts w:ascii="Cambria" w:hAnsi="Cambria"/>
                <w:color w:val="000000" w:themeColor="text1"/>
                <w:sz w:val="20"/>
                <w:szCs w:val="20"/>
                <w:u w:val="single"/>
              </w:rPr>
              <w:t>.</w:t>
            </w:r>
            <w:r w:rsidRPr="006C524F">
              <w:rPr>
                <w:rFonts w:ascii="Cambria" w:hAnsi="Cambria"/>
                <w:color w:val="000000" w:themeColor="text1"/>
                <w:sz w:val="20"/>
                <w:szCs w:val="20"/>
              </w:rPr>
              <w:t xml:space="preserve"> Se consideran ganancias ocasionales para los contribuyentes sujetos a este impuesto, las provenientes de la enajenación de bienes de cualquier naturaleza, que hayan hecho parte del activo fijo del contribuyente por un término de </w:t>
            </w:r>
            <w:r w:rsidRPr="006C524F">
              <w:rPr>
                <w:rFonts w:ascii="Cambria" w:hAnsi="Cambria"/>
                <w:color w:val="000000" w:themeColor="text1"/>
                <w:sz w:val="20"/>
                <w:szCs w:val="20"/>
                <w:highlight w:val="yellow"/>
                <w:u w:val="single"/>
              </w:rPr>
              <w:t>dos</w:t>
            </w:r>
            <w:r w:rsidRPr="006C524F">
              <w:rPr>
                <w:rFonts w:ascii="Cambria" w:hAnsi="Cambria"/>
                <w:color w:val="000000" w:themeColor="text1"/>
                <w:sz w:val="20"/>
                <w:szCs w:val="20"/>
              </w:rPr>
              <w:t xml:space="preserve"> años o más. Su cuantía se determina por la diferencia entre el precio de enajenación y el costo fiscal del activo enajenado.</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No se considera ganancia ocasional sino renta líquida, la utilidad en la enajenación de bienes que hagan parte del activo fijo del contribuyente y que hubieren sido poseídos por menos de </w:t>
            </w:r>
            <w:r w:rsidRPr="006C524F">
              <w:rPr>
                <w:rFonts w:ascii="Cambria" w:hAnsi="Cambria"/>
                <w:color w:val="000000" w:themeColor="text1"/>
                <w:sz w:val="20"/>
                <w:szCs w:val="20"/>
                <w:highlight w:val="yellow"/>
                <w:u w:val="single"/>
              </w:rPr>
              <w:t>2</w:t>
            </w:r>
            <w:r w:rsidRPr="006C524F">
              <w:rPr>
                <w:rFonts w:ascii="Cambria" w:hAnsi="Cambria"/>
                <w:color w:val="000000" w:themeColor="text1"/>
                <w:sz w:val="20"/>
                <w:szCs w:val="20"/>
              </w:rPr>
              <w:t xml:space="preserve"> años.</w:t>
            </w:r>
          </w:p>
          <w:p w:rsidR="00583AEB" w:rsidRPr="006C524F" w:rsidRDefault="00583AEB" w:rsidP="00583AEB">
            <w:pPr>
              <w:jc w:val="both"/>
              <w:rPr>
                <w:rStyle w:val="baj"/>
                <w:rFonts w:ascii="Cambria" w:hAnsi="Cambria"/>
                <w:color w:val="000000" w:themeColor="text1"/>
                <w:spacing w:val="2"/>
                <w:sz w:val="20"/>
                <w:szCs w:val="20"/>
              </w:rPr>
            </w:pPr>
          </w:p>
          <w:p w:rsidR="00583AEB" w:rsidRPr="006C524F" w:rsidRDefault="00583AEB" w:rsidP="00583AEB">
            <w:pPr>
              <w:jc w:val="both"/>
              <w:rPr>
                <w:rFonts w:ascii="Cambria" w:hAnsi="Cambria"/>
                <w:color w:val="000000" w:themeColor="text1"/>
                <w:sz w:val="20"/>
                <w:szCs w:val="20"/>
              </w:rPr>
            </w:pPr>
            <w:r w:rsidRPr="006C524F">
              <w:rPr>
                <w:rStyle w:val="baj"/>
                <w:rFonts w:ascii="Cambria" w:hAnsi="Cambria"/>
                <w:color w:val="000000" w:themeColor="text1"/>
                <w:spacing w:val="2"/>
                <w:sz w:val="20"/>
                <w:szCs w:val="20"/>
              </w:rPr>
              <w:t>PARAGRAFO.</w:t>
            </w:r>
            <w:r w:rsidRPr="006C524F">
              <w:rPr>
                <w:rFonts w:ascii="Cambria" w:hAnsi="Cambria"/>
                <w:color w:val="000000" w:themeColor="text1"/>
                <w:sz w:val="20"/>
                <w:szCs w:val="20"/>
              </w:rPr>
              <w:t> Para determinar el costo fiscal de los activos enajenados a que se refiere este artículo, se aplicarán las normas contempladas en lo pertinente, en el Título I del presente Libro.</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Style w:val="baj"/>
                <w:rFonts w:ascii="Cambria" w:hAnsi="Cambria"/>
                <w:color w:val="000000" w:themeColor="text1"/>
                <w:spacing w:val="2"/>
                <w:sz w:val="20"/>
                <w:szCs w:val="20"/>
              </w:rPr>
              <w:t>PARÁGRAFO 2o.</w:t>
            </w:r>
            <w:r w:rsidRPr="006C524F">
              <w:rPr>
                <w:rFonts w:ascii="Cambria" w:hAnsi="Cambria"/>
                <w:color w:val="000000" w:themeColor="text1"/>
                <w:sz w:val="20"/>
                <w:szCs w:val="20"/>
              </w:rPr>
              <w:t xml:space="preserve">  No se considera activo fijo, aquellos bienes que el contribuyente enajena en el giro ordinario de su negocio. A aquellos activos movibles que hubieren sido poseídos por el contribuyente por más </w:t>
            </w:r>
            <w:r w:rsidRPr="006C524F">
              <w:rPr>
                <w:rFonts w:ascii="Cambria" w:hAnsi="Cambria"/>
                <w:color w:val="000000" w:themeColor="text1"/>
                <w:sz w:val="20"/>
                <w:szCs w:val="20"/>
                <w:u w:val="single"/>
              </w:rPr>
              <w:t xml:space="preserve">de </w:t>
            </w:r>
            <w:r w:rsidRPr="006C524F">
              <w:rPr>
                <w:rFonts w:ascii="Cambria" w:hAnsi="Cambria"/>
                <w:color w:val="000000" w:themeColor="text1"/>
                <w:sz w:val="20"/>
                <w:szCs w:val="20"/>
                <w:highlight w:val="yellow"/>
                <w:u w:val="single"/>
              </w:rPr>
              <w:t>2</w:t>
            </w:r>
            <w:r w:rsidRPr="006C524F">
              <w:rPr>
                <w:rFonts w:ascii="Cambria" w:hAnsi="Cambria"/>
                <w:color w:val="000000" w:themeColor="text1"/>
                <w:sz w:val="20"/>
                <w:szCs w:val="20"/>
                <w:u w:val="single"/>
              </w:rPr>
              <w:t xml:space="preserve"> años</w:t>
            </w:r>
            <w:r w:rsidRPr="006C524F">
              <w:rPr>
                <w:rFonts w:ascii="Cambria" w:hAnsi="Cambria"/>
                <w:color w:val="000000" w:themeColor="text1"/>
                <w:sz w:val="20"/>
                <w:szCs w:val="20"/>
              </w:rPr>
              <w:t xml:space="preserve"> no le serán aplicables las reglas establecidas en este capítulo.</w:t>
            </w:r>
          </w:p>
          <w:p w:rsidR="00583AEB" w:rsidRPr="006C524F" w:rsidRDefault="00583AEB" w:rsidP="00583AEB">
            <w:pPr>
              <w:jc w:val="both"/>
              <w:rPr>
                <w:rFonts w:ascii="Cambria" w:hAnsi="Cambria" w:cs="Arial"/>
                <w:color w:val="000000" w:themeColor="text1"/>
                <w:sz w:val="20"/>
                <w:szCs w:val="20"/>
              </w:rPr>
            </w:pPr>
          </w:p>
        </w:tc>
        <w:tc>
          <w:tcPr>
            <w:tcW w:w="4865" w:type="dxa"/>
          </w:tcPr>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lastRenderedPageBreak/>
              <w:t>“</w:t>
            </w:r>
            <w:r w:rsidRPr="006C524F">
              <w:rPr>
                <w:rFonts w:ascii="Cambria" w:hAnsi="Cambria"/>
                <w:b/>
                <w:bCs/>
                <w:color w:val="000000" w:themeColor="text1"/>
                <w:sz w:val="20"/>
                <w:szCs w:val="20"/>
              </w:rPr>
              <w:t>Articulo 300. Se determina por la diferencia entre el precio de enajenación y el costo fiscal del activo</w:t>
            </w:r>
            <w:r w:rsidRPr="006C524F">
              <w:rPr>
                <w:rFonts w:ascii="Cambria" w:hAnsi="Cambria"/>
                <w:b/>
                <w:bCs/>
                <w:color w:val="000000" w:themeColor="text1"/>
                <w:sz w:val="20"/>
                <w:szCs w:val="20"/>
                <w:u w:val="single"/>
              </w:rPr>
              <w:t>.</w:t>
            </w:r>
            <w:r w:rsidRPr="006C524F">
              <w:rPr>
                <w:rFonts w:ascii="Cambria" w:hAnsi="Cambria"/>
                <w:b/>
                <w:bCs/>
                <w:color w:val="000000" w:themeColor="text1"/>
                <w:sz w:val="20"/>
                <w:szCs w:val="20"/>
              </w:rPr>
              <w:t> (</w:t>
            </w:r>
            <w:r w:rsidRPr="006C524F">
              <w:rPr>
                <w:rFonts w:ascii="Cambria" w:hAnsi="Cambria"/>
                <w:b/>
                <w:bCs/>
                <w:color w:val="FF0000"/>
                <w:sz w:val="20"/>
                <w:szCs w:val="20"/>
              </w:rPr>
              <w:t>modifi</w:t>
            </w:r>
            <w:r>
              <w:rPr>
                <w:rFonts w:ascii="Cambria" w:hAnsi="Cambria"/>
                <w:b/>
                <w:bCs/>
                <w:color w:val="FF0000"/>
                <w:sz w:val="20"/>
                <w:szCs w:val="20"/>
              </w:rPr>
              <w:t>ca</w:t>
            </w:r>
            <w:r w:rsidRPr="006C524F">
              <w:rPr>
                <w:rFonts w:ascii="Cambria" w:hAnsi="Cambria"/>
                <w:b/>
                <w:bCs/>
                <w:color w:val="FF0000"/>
                <w:sz w:val="20"/>
                <w:szCs w:val="20"/>
              </w:rPr>
              <w:t>do con artículo 20 del proyecto de Ley</w:t>
            </w:r>
            <w:r w:rsidR="00FB60A2">
              <w:rPr>
                <w:rFonts w:ascii="Cambria" w:hAnsi="Cambria"/>
                <w:b/>
                <w:bCs/>
                <w:color w:val="FF0000"/>
                <w:sz w:val="20"/>
                <w:szCs w:val="20"/>
              </w:rPr>
              <w:t xml:space="preserve"> de septiembre de 2025 </w:t>
            </w:r>
            <w:r w:rsidRPr="006C524F">
              <w:rPr>
                <w:rFonts w:ascii="Cambria" w:hAnsi="Cambria"/>
                <w:b/>
                <w:bCs/>
                <w:color w:val="000000" w:themeColor="text1"/>
                <w:sz w:val="20"/>
                <w:szCs w:val="20"/>
              </w:rPr>
              <w:t>)</w:t>
            </w:r>
            <w:r w:rsidRPr="006C524F">
              <w:rPr>
                <w:rFonts w:ascii="Cambria" w:hAnsi="Cambria"/>
                <w:color w:val="000000" w:themeColor="text1"/>
                <w:sz w:val="20"/>
                <w:szCs w:val="20"/>
              </w:rPr>
              <w:t xml:space="preserve">. Se consideran ganancias ocasionales para los contribuyentes sujetos a este impuesto, las provenientes de la enajenación de bienes de cualquier naturaleza, que hayan hecho parte del activo fijo del contribuyente por un término de </w:t>
            </w:r>
            <w:r w:rsidRPr="006C524F">
              <w:rPr>
                <w:rFonts w:ascii="Cambria" w:hAnsi="Cambria"/>
                <w:color w:val="000000" w:themeColor="text1"/>
                <w:sz w:val="20"/>
                <w:szCs w:val="20"/>
                <w:highlight w:val="yellow"/>
                <w:u w:val="single"/>
              </w:rPr>
              <w:t>cuatro</w:t>
            </w:r>
            <w:r w:rsidRPr="006C524F">
              <w:rPr>
                <w:rFonts w:ascii="Cambria" w:hAnsi="Cambria"/>
                <w:color w:val="000000" w:themeColor="text1"/>
                <w:sz w:val="20"/>
                <w:szCs w:val="20"/>
              </w:rPr>
              <w:t xml:space="preserve"> años o más. Su cuantía se determina por la diferencia entre el precio de enajenación y el costo fiscal del activo enajenado.</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No se considera ganancia ocasional sino renta líquida, la utilidad en la enajenación de bienes que hagan parte del activo fijo del contribuyente y que hubieren sido poseídos por menos de </w:t>
            </w:r>
            <w:r w:rsidRPr="006C524F">
              <w:rPr>
                <w:rFonts w:ascii="Cambria" w:hAnsi="Cambria"/>
                <w:color w:val="000000" w:themeColor="text1"/>
                <w:sz w:val="20"/>
                <w:szCs w:val="20"/>
                <w:highlight w:val="yellow"/>
                <w:u w:val="single"/>
              </w:rPr>
              <w:t>4</w:t>
            </w:r>
            <w:r w:rsidRPr="006C524F">
              <w:rPr>
                <w:rFonts w:ascii="Cambria" w:hAnsi="Cambria"/>
                <w:color w:val="000000" w:themeColor="text1"/>
                <w:sz w:val="20"/>
                <w:szCs w:val="20"/>
                <w:u w:val="single"/>
              </w:rPr>
              <w:t xml:space="preserve"> </w:t>
            </w:r>
            <w:r w:rsidRPr="006C524F">
              <w:rPr>
                <w:rFonts w:ascii="Cambria" w:hAnsi="Cambria"/>
                <w:color w:val="000000" w:themeColor="text1"/>
                <w:sz w:val="20"/>
                <w:szCs w:val="20"/>
              </w:rPr>
              <w:t>años.</w:t>
            </w:r>
          </w:p>
          <w:p w:rsidR="00583AEB" w:rsidRPr="006C524F" w:rsidRDefault="00583AEB" w:rsidP="00583AEB">
            <w:pPr>
              <w:jc w:val="both"/>
              <w:rPr>
                <w:rStyle w:val="baj"/>
                <w:rFonts w:ascii="Cambria" w:hAnsi="Cambria"/>
                <w:color w:val="000000" w:themeColor="text1"/>
                <w:spacing w:val="2"/>
                <w:sz w:val="20"/>
                <w:szCs w:val="20"/>
              </w:rPr>
            </w:pPr>
          </w:p>
          <w:p w:rsidR="00583AEB" w:rsidRPr="006C524F" w:rsidRDefault="00583AEB" w:rsidP="00583AEB">
            <w:pPr>
              <w:jc w:val="both"/>
              <w:rPr>
                <w:rFonts w:ascii="Cambria" w:hAnsi="Cambria"/>
                <w:color w:val="000000" w:themeColor="text1"/>
                <w:sz w:val="20"/>
                <w:szCs w:val="20"/>
              </w:rPr>
            </w:pPr>
            <w:r w:rsidRPr="006C524F">
              <w:rPr>
                <w:rStyle w:val="baj"/>
                <w:rFonts w:ascii="Cambria" w:hAnsi="Cambria"/>
                <w:color w:val="000000" w:themeColor="text1"/>
                <w:spacing w:val="2"/>
                <w:sz w:val="20"/>
                <w:szCs w:val="20"/>
              </w:rPr>
              <w:t>PARAGRAFO.</w:t>
            </w:r>
            <w:r w:rsidRPr="006C524F">
              <w:rPr>
                <w:rFonts w:ascii="Cambria" w:hAnsi="Cambria"/>
                <w:color w:val="000000" w:themeColor="text1"/>
                <w:sz w:val="20"/>
                <w:szCs w:val="20"/>
              </w:rPr>
              <w:t> Para determinar el costo fiscal de los activos enajenados a que se refiere este artículo, se aplicarán las normas contempladas en lo pertinente, en el Título I del presente Libro.</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Style w:val="baj"/>
                <w:rFonts w:ascii="Cambria" w:hAnsi="Cambria"/>
                <w:color w:val="000000" w:themeColor="text1"/>
                <w:spacing w:val="2"/>
                <w:sz w:val="20"/>
                <w:szCs w:val="20"/>
              </w:rPr>
              <w:t>PARÁGRAFO 2o.</w:t>
            </w:r>
            <w:r w:rsidRPr="006C524F">
              <w:rPr>
                <w:rFonts w:ascii="Cambria" w:hAnsi="Cambria"/>
                <w:color w:val="000000" w:themeColor="text1"/>
                <w:sz w:val="20"/>
                <w:szCs w:val="20"/>
              </w:rPr>
              <w:t xml:space="preserve">  No se considera activo fijo, aquellos bienes que el contribuyente enajena en el giro ordinario de su negocio. A aquellos activos movibles que hubieren sido poseídos por el contribuyente por </w:t>
            </w:r>
            <w:r w:rsidRPr="006C524F">
              <w:rPr>
                <w:rFonts w:ascii="Cambria" w:hAnsi="Cambria"/>
                <w:color w:val="000000" w:themeColor="text1"/>
                <w:sz w:val="20"/>
                <w:szCs w:val="20"/>
              </w:rPr>
              <w:lastRenderedPageBreak/>
              <w:t xml:space="preserve">más </w:t>
            </w:r>
            <w:r w:rsidRPr="006C524F">
              <w:rPr>
                <w:rFonts w:ascii="Cambria" w:hAnsi="Cambria"/>
                <w:color w:val="000000" w:themeColor="text1"/>
                <w:sz w:val="20"/>
                <w:szCs w:val="20"/>
                <w:u w:val="single"/>
              </w:rPr>
              <w:t xml:space="preserve">de </w:t>
            </w:r>
            <w:r w:rsidRPr="006C524F">
              <w:rPr>
                <w:rFonts w:ascii="Cambria" w:hAnsi="Cambria"/>
                <w:color w:val="000000" w:themeColor="text1"/>
                <w:sz w:val="20"/>
                <w:szCs w:val="20"/>
                <w:highlight w:val="yellow"/>
                <w:u w:val="single"/>
              </w:rPr>
              <w:t>4 a</w:t>
            </w:r>
            <w:r w:rsidRPr="006C524F">
              <w:rPr>
                <w:rFonts w:ascii="Cambria" w:hAnsi="Cambria"/>
                <w:color w:val="000000" w:themeColor="text1"/>
                <w:sz w:val="20"/>
                <w:szCs w:val="20"/>
                <w:u w:val="single"/>
              </w:rPr>
              <w:t>ños no</w:t>
            </w:r>
            <w:r w:rsidRPr="006C524F">
              <w:rPr>
                <w:rFonts w:ascii="Cambria" w:hAnsi="Cambria"/>
                <w:color w:val="000000" w:themeColor="text1"/>
                <w:sz w:val="20"/>
                <w:szCs w:val="20"/>
              </w:rPr>
              <w:t xml:space="preserve"> le serán aplicables las reglas establecidas en este capítulo.</w:t>
            </w:r>
          </w:p>
          <w:p w:rsidR="00583AEB" w:rsidRPr="006C524F" w:rsidRDefault="00583AEB" w:rsidP="00583AEB">
            <w:pPr>
              <w:jc w:val="both"/>
              <w:rPr>
                <w:rFonts w:ascii="Cambria" w:hAnsi="Cambria" w:cs="Arial"/>
                <w:color w:val="000000" w:themeColor="text1"/>
                <w:sz w:val="20"/>
                <w:szCs w:val="20"/>
              </w:rPr>
            </w:pPr>
          </w:p>
        </w:tc>
      </w:tr>
      <w:tr w:rsidR="00583AEB" w:rsidTr="0059378C">
        <w:tc>
          <w:tcPr>
            <w:tcW w:w="4958" w:type="dxa"/>
          </w:tcPr>
          <w:p w:rsidR="00583AEB" w:rsidRPr="006C524F" w:rsidRDefault="00583AEB" w:rsidP="00583AEB">
            <w:pPr>
              <w:jc w:val="both"/>
              <w:rPr>
                <w:rFonts w:ascii="Cambria" w:hAnsi="Cambria"/>
                <w:color w:val="000000" w:themeColor="text1"/>
                <w:sz w:val="20"/>
                <w:szCs w:val="20"/>
              </w:rPr>
            </w:pPr>
            <w:r w:rsidRPr="006C524F">
              <w:rPr>
                <w:rFonts w:ascii="Cambria" w:hAnsi="Cambria"/>
                <w:b/>
                <w:bCs/>
                <w:color w:val="000000" w:themeColor="text1"/>
                <w:sz w:val="20"/>
                <w:szCs w:val="20"/>
              </w:rPr>
              <w:lastRenderedPageBreak/>
              <w:t xml:space="preserve">Articulo 307. Ganancias ocasionales exentas </w:t>
            </w:r>
            <w:r w:rsidRPr="006C524F">
              <w:rPr>
                <w:rFonts w:ascii="Cambria" w:hAnsi="Cambria"/>
                <w:color w:val="000000" w:themeColor="text1"/>
                <w:sz w:val="20"/>
                <w:szCs w:val="20"/>
              </w:rPr>
              <w:t>Las ganancias ocasionales que se enumeran a continuación están exentas del impuesto a las ganancias ocasionales: </w:t>
            </w:r>
          </w:p>
          <w:p w:rsidR="00583AEB" w:rsidRDefault="00583AEB" w:rsidP="00583AEB">
            <w:pPr>
              <w:jc w:val="both"/>
              <w:rPr>
                <w:rFonts w:ascii="Cambria" w:hAnsi="Cambria"/>
                <w:color w:val="000000" w:themeColor="text1"/>
                <w:sz w:val="20"/>
                <w:szCs w:val="20"/>
              </w:rPr>
            </w:pPr>
          </w:p>
          <w:p w:rsidR="00FB60A2" w:rsidRPr="006C524F" w:rsidRDefault="00FB60A2"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1. El equivalente a las </w:t>
            </w:r>
            <w:r w:rsidRPr="006C524F">
              <w:rPr>
                <w:rFonts w:ascii="Cambria" w:hAnsi="Cambria"/>
                <w:b/>
                <w:bCs/>
                <w:color w:val="000000" w:themeColor="text1"/>
                <w:sz w:val="20"/>
                <w:szCs w:val="20"/>
                <w:highlight w:val="yellow"/>
              </w:rPr>
              <w:t>primeras trece mil (13.000) UVT</w:t>
            </w:r>
            <w:r w:rsidRPr="006C524F">
              <w:rPr>
                <w:rFonts w:ascii="Cambria" w:hAnsi="Cambria"/>
                <w:color w:val="000000" w:themeColor="text1"/>
                <w:sz w:val="20"/>
                <w:szCs w:val="20"/>
              </w:rPr>
              <w:t xml:space="preserve"> del valor de un inmueble de vivienda de habitación de propiedad del causante.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2. El equivalente a las </w:t>
            </w:r>
            <w:r w:rsidRPr="006C524F">
              <w:rPr>
                <w:rFonts w:ascii="Cambria" w:hAnsi="Cambria"/>
                <w:b/>
                <w:bCs/>
                <w:color w:val="000000" w:themeColor="text1"/>
                <w:sz w:val="20"/>
                <w:szCs w:val="20"/>
                <w:highlight w:val="yellow"/>
              </w:rPr>
              <w:t>primeras seis mil quinientas (6.500) UVT</w:t>
            </w:r>
            <w:r w:rsidRPr="006C524F">
              <w:rPr>
                <w:rFonts w:ascii="Cambria" w:hAnsi="Cambria"/>
                <w:color w:val="000000" w:themeColor="text1"/>
                <w:sz w:val="20"/>
                <w:szCs w:val="20"/>
              </w:rPr>
              <w:t xml:space="preserve"> de bienes inmuebles diferentes a la vivienda de habitación de propiedad del causante.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rPr>
                <w:rFonts w:ascii="Arial" w:hAnsi="Arial" w:cs="Arial"/>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3. El equivalente a las primeras tres mil doscientas cincuenta (3.250) UVT </w:t>
            </w:r>
            <w:r w:rsidRPr="006C524F">
              <w:rPr>
                <w:rFonts w:ascii="Cambria" w:hAnsi="Cambria"/>
                <w:b/>
                <w:bCs/>
                <w:color w:val="000000" w:themeColor="text1"/>
                <w:sz w:val="20"/>
                <w:szCs w:val="20"/>
                <w:highlight w:val="yellow"/>
              </w:rPr>
              <w:t>del valor de las asignaciones que por concepto de porción conyugal o de herencia o legado reciban el cónyuge supérstite y cada uno de los herederos o legatarios, según el caso</w:t>
            </w:r>
            <w:r w:rsidRPr="006C524F">
              <w:rPr>
                <w:rFonts w:ascii="Cambria" w:hAnsi="Cambria"/>
                <w:color w:val="000000" w:themeColor="text1"/>
                <w:sz w:val="20"/>
                <w:szCs w:val="20"/>
              </w:rPr>
              <w:t>.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4. El 20% del valor de los bienes y derechos recibidos por personas diferentes de los legitimarios y/o el cónyuge supérstite por concepto de herencias y legados, y el 20% de los bienes y derechos recibidos por concepto de donaciones y de otros actos jurídicos inter vivos celebrados a título gratuito, sin que dicha suma supere el equivalente a mil seiscientos veinticinco (1.625) UVT.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5. Igualmente están exentos los libros, las ropas y utensilios de uso personal y el mobiliario de la casa del causante.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stheme="minorHAnsi"/>
                <w:color w:val="000000" w:themeColor="text1"/>
                <w:sz w:val="20"/>
                <w:szCs w:val="20"/>
                <w:lang w:eastAsia="es-CO"/>
              </w:rPr>
            </w:pPr>
          </w:p>
        </w:tc>
        <w:tc>
          <w:tcPr>
            <w:tcW w:w="4865" w:type="dxa"/>
          </w:tcPr>
          <w:p w:rsidR="00583AEB" w:rsidRPr="006C524F" w:rsidRDefault="00583AEB" w:rsidP="00583AEB">
            <w:pPr>
              <w:jc w:val="both"/>
              <w:rPr>
                <w:rFonts w:ascii="Cambria" w:hAnsi="Cambria"/>
                <w:color w:val="000000" w:themeColor="text1"/>
                <w:sz w:val="20"/>
                <w:szCs w:val="20"/>
              </w:rPr>
            </w:pPr>
            <w:r w:rsidRPr="006C524F">
              <w:rPr>
                <w:rFonts w:ascii="Cambria" w:hAnsi="Cambria"/>
                <w:b/>
                <w:bCs/>
                <w:color w:val="000000" w:themeColor="text1"/>
                <w:sz w:val="20"/>
                <w:szCs w:val="20"/>
              </w:rPr>
              <w:t xml:space="preserve">Articulo 307. Ganancias ocasionales exentas </w:t>
            </w:r>
            <w:r w:rsidRPr="006C524F">
              <w:rPr>
                <w:rFonts w:ascii="Cambria" w:hAnsi="Cambria"/>
                <w:color w:val="000000" w:themeColor="text1"/>
                <w:sz w:val="20"/>
                <w:szCs w:val="20"/>
              </w:rPr>
              <w:t>(</w:t>
            </w:r>
            <w:r w:rsidRPr="006C524F">
              <w:rPr>
                <w:rFonts w:ascii="Cambria" w:hAnsi="Cambria"/>
                <w:b/>
                <w:bCs/>
                <w:color w:val="FF0000"/>
                <w:sz w:val="20"/>
                <w:szCs w:val="20"/>
              </w:rPr>
              <w:t>modificado con artículo 21 del proyecto de Ley</w:t>
            </w:r>
            <w:r w:rsidR="00FB60A2">
              <w:rPr>
                <w:rFonts w:ascii="Cambria" w:hAnsi="Cambria"/>
                <w:b/>
                <w:bCs/>
                <w:color w:val="FF0000"/>
                <w:sz w:val="20"/>
                <w:szCs w:val="20"/>
              </w:rPr>
              <w:t xml:space="preserve"> de septiembre de 2025</w:t>
            </w:r>
            <w:r w:rsidRPr="006C524F">
              <w:rPr>
                <w:rFonts w:ascii="Cambria" w:hAnsi="Cambria"/>
                <w:color w:val="000000" w:themeColor="text1"/>
                <w:sz w:val="20"/>
                <w:szCs w:val="20"/>
              </w:rPr>
              <w:t>)</w:t>
            </w:r>
            <w:r w:rsidRPr="006C524F">
              <w:rPr>
                <w:rFonts w:ascii="Cambria" w:hAnsi="Cambria"/>
                <w:b/>
                <w:bCs/>
                <w:color w:val="000000" w:themeColor="text1"/>
                <w:sz w:val="20"/>
                <w:szCs w:val="20"/>
              </w:rPr>
              <w:t xml:space="preserve"> </w:t>
            </w:r>
            <w:r w:rsidRPr="006C524F">
              <w:rPr>
                <w:rFonts w:ascii="Cambria" w:hAnsi="Cambria"/>
                <w:color w:val="000000" w:themeColor="text1"/>
                <w:sz w:val="20"/>
                <w:szCs w:val="20"/>
              </w:rPr>
              <w:t>Las ganancias ocasionales que se enumeran a continuación están exentas del impuesto a las ganancias ocasionales: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pStyle w:val="Default"/>
              <w:jc w:val="both"/>
              <w:rPr>
                <w:rFonts w:ascii="Cambria" w:hAnsi="Cambria" w:cstheme="minorBidi"/>
                <w:color w:val="000000" w:themeColor="text1"/>
                <w:kern w:val="2"/>
                <w:sz w:val="20"/>
                <w:szCs w:val="20"/>
              </w:rPr>
            </w:pPr>
            <w:r w:rsidRPr="006C524F">
              <w:rPr>
                <w:rFonts w:ascii="Cambria" w:hAnsi="Cambria"/>
                <w:color w:val="000000" w:themeColor="text1"/>
                <w:sz w:val="20"/>
                <w:szCs w:val="20"/>
              </w:rPr>
              <w:t>1</w:t>
            </w:r>
            <w:r w:rsidRPr="006C524F">
              <w:rPr>
                <w:rFonts w:ascii="Cambria" w:hAnsi="Cambria" w:cstheme="minorBidi"/>
                <w:color w:val="000000" w:themeColor="text1"/>
                <w:kern w:val="2"/>
                <w:sz w:val="20"/>
                <w:szCs w:val="20"/>
              </w:rPr>
              <w:t xml:space="preserve">. El equivalente al valor del inmueble de vivienda de habitación de propiedad del causante </w:t>
            </w:r>
            <w:r w:rsidRPr="006C524F">
              <w:rPr>
                <w:rFonts w:ascii="Cambria" w:hAnsi="Cambria" w:cstheme="minorBidi"/>
                <w:b/>
                <w:bCs/>
                <w:color w:val="000000" w:themeColor="text1"/>
                <w:kern w:val="2"/>
                <w:sz w:val="20"/>
                <w:szCs w:val="20"/>
                <w:highlight w:val="yellow"/>
              </w:rPr>
              <w:t>en un monto que no supere el valor máximo fijado para la Vivienda de Interés Social (VIS) calculado en UVT</w:t>
            </w:r>
            <w:r w:rsidRPr="006C524F">
              <w:rPr>
                <w:rFonts w:ascii="Cambria" w:hAnsi="Cambria" w:cstheme="minorBidi"/>
                <w:color w:val="000000" w:themeColor="text1"/>
                <w:kern w:val="2"/>
                <w:sz w:val="20"/>
                <w:szCs w:val="20"/>
              </w:rPr>
              <w:t xml:space="preserve">. </w:t>
            </w:r>
          </w:p>
          <w:p w:rsidR="00583AEB" w:rsidRPr="006C524F" w:rsidRDefault="00583AEB" w:rsidP="00583AEB">
            <w:pPr>
              <w:pStyle w:val="Default"/>
              <w:jc w:val="both"/>
              <w:rPr>
                <w:rFonts w:ascii="Cambria" w:hAnsi="Cambria" w:cstheme="minorBidi"/>
                <w:color w:val="000000" w:themeColor="text1"/>
                <w:kern w:val="2"/>
                <w:sz w:val="20"/>
                <w:szCs w:val="20"/>
              </w:rPr>
            </w:pPr>
          </w:p>
          <w:p w:rsidR="00583AEB" w:rsidRPr="006C524F" w:rsidRDefault="00583AEB" w:rsidP="00583AEB">
            <w:pPr>
              <w:pStyle w:val="Default"/>
              <w:jc w:val="both"/>
              <w:rPr>
                <w:rFonts w:ascii="Cambria" w:hAnsi="Cambria" w:cstheme="minorBidi"/>
                <w:b/>
                <w:bCs/>
                <w:color w:val="000000" w:themeColor="text1"/>
                <w:kern w:val="2"/>
                <w:sz w:val="20"/>
                <w:szCs w:val="20"/>
              </w:rPr>
            </w:pPr>
            <w:r w:rsidRPr="006C524F">
              <w:rPr>
                <w:rFonts w:ascii="Cambria" w:hAnsi="Cambria" w:cstheme="minorBidi"/>
                <w:color w:val="000000" w:themeColor="text1"/>
                <w:kern w:val="2"/>
                <w:sz w:val="20"/>
                <w:szCs w:val="20"/>
              </w:rPr>
              <w:t xml:space="preserve">2. El equivalente al valor de bienes inmuebles diferentes a la vivienda de habitación de propiedad del causante </w:t>
            </w:r>
            <w:r w:rsidRPr="006C524F">
              <w:rPr>
                <w:rFonts w:ascii="Cambria" w:hAnsi="Cambria" w:cstheme="minorBidi"/>
                <w:b/>
                <w:bCs/>
                <w:color w:val="000000" w:themeColor="text1"/>
                <w:kern w:val="2"/>
                <w:sz w:val="20"/>
                <w:szCs w:val="20"/>
                <w:highlight w:val="yellow"/>
              </w:rPr>
              <w:t>en un monto que no supere el valor máximo fijado para la Vivienda de Interés Social (VIS) calculado en UVT</w:t>
            </w:r>
            <w:r w:rsidRPr="006C524F">
              <w:rPr>
                <w:rFonts w:ascii="Cambria" w:hAnsi="Cambria" w:cstheme="minorBidi"/>
                <w:b/>
                <w:bCs/>
                <w:color w:val="000000" w:themeColor="text1"/>
                <w:kern w:val="2"/>
                <w:sz w:val="20"/>
                <w:szCs w:val="20"/>
              </w:rPr>
              <w:t xml:space="preserve">.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 xml:space="preserve">3. El equivalente a las primeras tres mil doscientas cincuenta (3.250) UVT </w:t>
            </w:r>
            <w:r w:rsidRPr="006C524F">
              <w:rPr>
                <w:rFonts w:ascii="Cambria" w:hAnsi="Cambria"/>
                <w:b/>
                <w:bCs/>
                <w:color w:val="000000" w:themeColor="text1"/>
                <w:sz w:val="20"/>
                <w:szCs w:val="20"/>
                <w:highlight w:val="yellow"/>
              </w:rPr>
              <w:t>de otros activos diferentes a los previstos en los numerales anteriores</w:t>
            </w:r>
            <w:r w:rsidRPr="006C524F">
              <w:rPr>
                <w:rFonts w:ascii="Cambria" w:hAnsi="Cambria"/>
                <w:color w:val="000000" w:themeColor="text1"/>
                <w:sz w:val="20"/>
                <w:szCs w:val="20"/>
              </w:rPr>
              <w:t> </w:t>
            </w:r>
          </w:p>
          <w:p w:rsidR="00583AEB" w:rsidRPr="006C524F" w:rsidRDefault="00583AEB" w:rsidP="00583AEB">
            <w:pPr>
              <w:jc w:val="both"/>
              <w:rPr>
                <w:rFonts w:ascii="Cambria" w:hAnsi="Cambria"/>
                <w:color w:val="000000" w:themeColor="text1"/>
                <w:sz w:val="20"/>
                <w:szCs w:val="20"/>
              </w:rPr>
            </w:pPr>
          </w:p>
          <w:p w:rsidR="00583AEB"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4. El 20% del valor de los bienes y derechos recibidos por personas diferentes de los legitimarios y/o el cónyuge supérstite por concepto de herencias y legados, y el 20% de los bienes y derechos recibidos por concepto de donaciones y de otros actos jurídicos inter vivos celebrados a título gratuito, sin que dicha suma supere el equivalente a mil seiscientos veinticinco (1.625) UVT.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rFonts w:ascii="Cambria" w:hAnsi="Cambria"/>
                <w:color w:val="000000" w:themeColor="text1"/>
                <w:sz w:val="20"/>
                <w:szCs w:val="20"/>
              </w:rPr>
            </w:pPr>
            <w:r w:rsidRPr="006C524F">
              <w:rPr>
                <w:rFonts w:ascii="Cambria" w:hAnsi="Cambria"/>
                <w:color w:val="000000" w:themeColor="text1"/>
                <w:sz w:val="20"/>
                <w:szCs w:val="20"/>
              </w:rPr>
              <w:t>5. Igualmente están exentos los libros, las ropas y utensilios de uso personal y el mobiliario de la casa del causante. </w:t>
            </w:r>
          </w:p>
          <w:p w:rsidR="00583AEB" w:rsidRPr="006C524F" w:rsidRDefault="00583AEB" w:rsidP="00583AEB">
            <w:pPr>
              <w:jc w:val="both"/>
              <w:rPr>
                <w:rFonts w:ascii="Cambria" w:hAnsi="Cambria"/>
                <w:color w:val="000000" w:themeColor="text1"/>
                <w:sz w:val="20"/>
                <w:szCs w:val="20"/>
              </w:rPr>
            </w:pPr>
          </w:p>
          <w:p w:rsidR="00583AEB" w:rsidRPr="006C524F" w:rsidRDefault="00583AEB" w:rsidP="00583AEB">
            <w:pPr>
              <w:jc w:val="both"/>
              <w:rPr>
                <w:color w:val="000000" w:themeColor="text1"/>
                <w:sz w:val="20"/>
                <w:szCs w:val="20"/>
              </w:rPr>
            </w:pPr>
          </w:p>
        </w:tc>
      </w:tr>
      <w:tr w:rsidR="00583AEB" w:rsidTr="0059378C">
        <w:tc>
          <w:tcPr>
            <w:tcW w:w="4958" w:type="dxa"/>
          </w:tcPr>
          <w:p w:rsidR="00583AEB" w:rsidRPr="006C524F" w:rsidRDefault="00583AEB" w:rsidP="00583AEB">
            <w:pPr>
              <w:jc w:val="both"/>
              <w:rPr>
                <w:color w:val="000000" w:themeColor="text1"/>
                <w:sz w:val="20"/>
                <w:szCs w:val="20"/>
                <w:lang w:eastAsia="es-CO"/>
              </w:rPr>
            </w:pPr>
            <w:r w:rsidRPr="006C524F">
              <w:rPr>
                <w:rFonts w:ascii="Cambria" w:hAnsi="Cambria"/>
                <w:b/>
                <w:bCs/>
                <w:color w:val="000000" w:themeColor="text1"/>
                <w:sz w:val="20"/>
                <w:szCs w:val="20"/>
                <w:shd w:val="clear" w:color="auto" w:fill="FFFFFF"/>
              </w:rPr>
              <w:t>Articulo 317. Para ganancias ocasionales provenientes de loterías, rifas, apuestas y similares</w:t>
            </w:r>
            <w:r w:rsidRPr="006C524F">
              <w:rPr>
                <w:rFonts w:ascii="Cambria" w:hAnsi="Cambria"/>
                <w:color w:val="000000" w:themeColor="text1"/>
                <w:sz w:val="20"/>
                <w:szCs w:val="20"/>
                <w:shd w:val="clear" w:color="auto" w:fill="FFFFFF"/>
              </w:rPr>
              <w:t xml:space="preserve">.  Fijase en un </w:t>
            </w:r>
            <w:r w:rsidRPr="006C524F">
              <w:rPr>
                <w:rFonts w:ascii="Cambria" w:hAnsi="Cambria"/>
                <w:b/>
                <w:bCs/>
                <w:color w:val="000000" w:themeColor="text1"/>
                <w:sz w:val="20"/>
                <w:szCs w:val="20"/>
                <w:highlight w:val="yellow"/>
                <w:shd w:val="clear" w:color="auto" w:fill="FFFFFF"/>
              </w:rPr>
              <w:t>veinte</w:t>
            </w:r>
            <w:r w:rsidRPr="006C524F">
              <w:rPr>
                <w:rFonts w:ascii="Cambria" w:hAnsi="Cambria"/>
                <w:color w:val="000000" w:themeColor="text1"/>
                <w:sz w:val="20"/>
                <w:szCs w:val="20"/>
                <w:shd w:val="clear" w:color="auto" w:fill="FFFFFF"/>
              </w:rPr>
              <w:t xml:space="preserve"> por ciento </w:t>
            </w:r>
            <w:r w:rsidRPr="006C524F">
              <w:rPr>
                <w:rFonts w:ascii="Cambria" w:hAnsi="Cambria"/>
                <w:b/>
                <w:bCs/>
                <w:color w:val="000000" w:themeColor="text1"/>
                <w:sz w:val="20"/>
                <w:szCs w:val="20"/>
                <w:shd w:val="clear" w:color="auto" w:fill="FFFFFF"/>
              </w:rPr>
              <w:t>(</w:t>
            </w:r>
            <w:r w:rsidRPr="006C524F">
              <w:rPr>
                <w:rFonts w:ascii="Cambria" w:hAnsi="Cambria"/>
                <w:b/>
                <w:bCs/>
                <w:color w:val="000000" w:themeColor="text1"/>
                <w:sz w:val="20"/>
                <w:szCs w:val="20"/>
                <w:highlight w:val="yellow"/>
                <w:shd w:val="clear" w:color="auto" w:fill="FFFFFF"/>
              </w:rPr>
              <w:t>20%),</w:t>
            </w:r>
            <w:r w:rsidRPr="006C524F">
              <w:rPr>
                <w:rFonts w:ascii="Cambria" w:hAnsi="Cambria"/>
                <w:color w:val="000000" w:themeColor="text1"/>
                <w:sz w:val="20"/>
                <w:szCs w:val="20"/>
                <w:shd w:val="clear" w:color="auto" w:fill="FFFFFF"/>
              </w:rPr>
              <w:t xml:space="preserve"> la tarifa del impuesto de ganancias ocasionales provenientes de loterías, rifas, apuestas y similares.</w:t>
            </w:r>
          </w:p>
        </w:tc>
        <w:tc>
          <w:tcPr>
            <w:tcW w:w="4865" w:type="dxa"/>
          </w:tcPr>
          <w:p w:rsidR="00583AEB" w:rsidRPr="006C524F" w:rsidRDefault="00583AEB" w:rsidP="00583AEB">
            <w:pPr>
              <w:jc w:val="both"/>
              <w:rPr>
                <w:rFonts w:ascii="Cambria" w:hAnsi="Cambria"/>
                <w:color w:val="000000" w:themeColor="text1"/>
                <w:sz w:val="20"/>
                <w:szCs w:val="20"/>
                <w:shd w:val="clear" w:color="auto" w:fill="FFFFFF"/>
              </w:rPr>
            </w:pPr>
            <w:r w:rsidRPr="006C524F">
              <w:rPr>
                <w:rFonts w:ascii="Cambria" w:hAnsi="Cambria"/>
                <w:b/>
                <w:bCs/>
                <w:color w:val="000000" w:themeColor="text1"/>
                <w:sz w:val="20"/>
                <w:szCs w:val="20"/>
                <w:shd w:val="clear" w:color="auto" w:fill="FFFFFF"/>
              </w:rPr>
              <w:t>Articulo 317. Para ganancias ocasionales provenientes de loterías, rifas, apuestas y similares (</w:t>
            </w:r>
            <w:r w:rsidRPr="00FB60A2">
              <w:rPr>
                <w:rFonts w:ascii="Cambria" w:hAnsi="Cambria"/>
                <w:b/>
                <w:bCs/>
                <w:color w:val="FF0000"/>
                <w:sz w:val="20"/>
                <w:szCs w:val="20"/>
              </w:rPr>
              <w:t>se modificaría con artículo 22 del proyecto de Ley)</w:t>
            </w:r>
            <w:r w:rsidRPr="00FB60A2">
              <w:rPr>
                <w:rFonts w:ascii="Cambria" w:hAnsi="Cambria"/>
                <w:b/>
                <w:bCs/>
                <w:color w:val="FF0000"/>
                <w:sz w:val="20"/>
                <w:szCs w:val="20"/>
                <w:shd w:val="clear" w:color="auto" w:fill="FFFFFF"/>
              </w:rPr>
              <w:t>.</w:t>
            </w:r>
            <w:r w:rsidRPr="00FB60A2">
              <w:rPr>
                <w:rFonts w:ascii="Cambria" w:hAnsi="Cambria"/>
                <w:color w:val="FF0000"/>
                <w:sz w:val="20"/>
                <w:szCs w:val="20"/>
                <w:shd w:val="clear" w:color="auto" w:fill="FFFFFF"/>
              </w:rPr>
              <w:t xml:space="preserve">  </w:t>
            </w:r>
            <w:r w:rsidRPr="006C524F">
              <w:rPr>
                <w:rFonts w:ascii="Cambria" w:hAnsi="Cambria"/>
                <w:color w:val="000000" w:themeColor="text1"/>
                <w:sz w:val="20"/>
                <w:szCs w:val="20"/>
                <w:shd w:val="clear" w:color="auto" w:fill="FFFFFF"/>
              </w:rPr>
              <w:t xml:space="preserve">Fijase en un </w:t>
            </w:r>
            <w:r w:rsidRPr="006C524F">
              <w:rPr>
                <w:rFonts w:ascii="Cambria" w:hAnsi="Cambria"/>
                <w:color w:val="000000" w:themeColor="text1"/>
                <w:sz w:val="20"/>
                <w:szCs w:val="20"/>
                <w:highlight w:val="yellow"/>
                <w:shd w:val="clear" w:color="auto" w:fill="FFFFFF"/>
              </w:rPr>
              <w:t>treinta</w:t>
            </w:r>
            <w:r w:rsidRPr="006C524F">
              <w:rPr>
                <w:rFonts w:ascii="Cambria" w:hAnsi="Cambria"/>
                <w:color w:val="000000" w:themeColor="text1"/>
                <w:sz w:val="20"/>
                <w:szCs w:val="20"/>
                <w:shd w:val="clear" w:color="auto" w:fill="FFFFFF"/>
              </w:rPr>
              <w:t xml:space="preserve"> por ciento (</w:t>
            </w:r>
            <w:r w:rsidRPr="006C524F">
              <w:rPr>
                <w:rFonts w:ascii="Cambria" w:hAnsi="Cambria"/>
                <w:color w:val="000000" w:themeColor="text1"/>
                <w:sz w:val="20"/>
                <w:szCs w:val="20"/>
                <w:highlight w:val="yellow"/>
                <w:shd w:val="clear" w:color="auto" w:fill="FFFFFF"/>
              </w:rPr>
              <w:t>30%</w:t>
            </w:r>
            <w:r w:rsidRPr="006C524F">
              <w:rPr>
                <w:rFonts w:ascii="Cambria" w:hAnsi="Cambria"/>
                <w:color w:val="000000" w:themeColor="text1"/>
                <w:sz w:val="20"/>
                <w:szCs w:val="20"/>
                <w:shd w:val="clear" w:color="auto" w:fill="FFFFFF"/>
              </w:rPr>
              <w:t>), la tarifa del impuesto de ganancias ocasionales provenientes de loterías, rifas, apuestas y similares.</w:t>
            </w:r>
          </w:p>
          <w:p w:rsidR="00583AEB" w:rsidRPr="006C524F" w:rsidRDefault="00583AEB" w:rsidP="00583AEB">
            <w:pPr>
              <w:jc w:val="both"/>
              <w:rPr>
                <w:color w:val="000000" w:themeColor="text1"/>
                <w:sz w:val="20"/>
                <w:szCs w:val="20"/>
              </w:rPr>
            </w:pPr>
          </w:p>
        </w:tc>
      </w:tr>
      <w:tr w:rsidR="00817718" w:rsidTr="0059378C">
        <w:tc>
          <w:tcPr>
            <w:tcW w:w="4958" w:type="dxa"/>
          </w:tcPr>
          <w:p w:rsidR="00817718" w:rsidRPr="00817718" w:rsidRDefault="00817718" w:rsidP="00817718">
            <w:pPr>
              <w:jc w:val="both"/>
              <w:rPr>
                <w:rFonts w:ascii="Cambria" w:hAnsi="Cambria"/>
                <w:sz w:val="20"/>
                <w:szCs w:val="20"/>
              </w:rPr>
            </w:pPr>
            <w:bookmarkStart w:id="17" w:name="326"/>
            <w:r w:rsidRPr="00817718">
              <w:rPr>
                <w:rFonts w:ascii="Cambria" w:hAnsi="Cambria"/>
                <w:b/>
                <w:bCs/>
                <w:color w:val="000000" w:themeColor="text1"/>
                <w:sz w:val="20"/>
                <w:szCs w:val="20"/>
              </w:rPr>
              <w:t>Articulo 326. Requisitos para la autorización de cambio de titular de inversión extranjera.</w:t>
            </w:r>
            <w:bookmarkEnd w:id="17"/>
            <w:r w:rsidRPr="00817718">
              <w:rPr>
                <w:rFonts w:ascii="Cambria" w:hAnsi="Cambria"/>
                <w:color w:val="000000" w:themeColor="text1"/>
                <w:sz w:val="20"/>
                <w:szCs w:val="20"/>
              </w:rPr>
              <w:t> </w:t>
            </w:r>
            <w:r w:rsidRPr="00817718">
              <w:rPr>
                <w:rFonts w:ascii="Cambria" w:hAnsi="Cambria"/>
                <w:sz w:val="20"/>
                <w:szCs w:val="20"/>
              </w:rPr>
              <w:t xml:space="preserve">Para autorizar el cambio de titular de una inversión extranjera, el organismo nacional competente deberá exigir que se haya acreditado, ante la Dirección General </w:t>
            </w:r>
            <w:r w:rsidRPr="00817718">
              <w:rPr>
                <w:rFonts w:ascii="Cambria" w:hAnsi="Cambria"/>
                <w:sz w:val="20"/>
                <w:szCs w:val="20"/>
              </w:rPr>
              <w:lastRenderedPageBreak/>
              <w:t>de Impuestos Nacionales</w:t>
            </w:r>
            <w:r w:rsidRPr="00817718">
              <w:rPr>
                <w:rFonts w:ascii="Cambria" w:hAnsi="Cambria"/>
                <w:sz w:val="20"/>
                <w:szCs w:val="20"/>
                <w:vertAlign w:val="superscript"/>
              </w:rPr>
              <w:t>&lt;</w:t>
            </w:r>
            <w:hyperlink r:id="rId44" w:anchor="NP1" w:history="1">
              <w:r w:rsidRPr="00817718">
                <w:rPr>
                  <w:rStyle w:val="Hipervnculo"/>
                  <w:rFonts w:ascii="Cambria" w:hAnsi="Cambria"/>
                  <w:color w:val="00A9E0"/>
                  <w:spacing w:val="2"/>
                  <w:sz w:val="20"/>
                  <w:szCs w:val="20"/>
                  <w:vertAlign w:val="superscript"/>
                </w:rPr>
                <w:t>1</w:t>
              </w:r>
            </w:hyperlink>
            <w:r w:rsidRPr="00817718">
              <w:rPr>
                <w:rFonts w:ascii="Cambria" w:hAnsi="Cambria"/>
                <w:sz w:val="20"/>
                <w:szCs w:val="20"/>
                <w:vertAlign w:val="superscript"/>
              </w:rPr>
              <w:t>&gt;</w:t>
            </w:r>
            <w:r w:rsidRPr="00817718">
              <w:rPr>
                <w:rFonts w:ascii="Cambria" w:hAnsi="Cambria"/>
                <w:sz w:val="20"/>
                <w:szCs w:val="20"/>
              </w:rPr>
              <w:t>, el pago de los impuestos correspondientes a la respectiva transacción o se haya otorgado garantía del pago de dicho impuesto.</w:t>
            </w:r>
          </w:p>
          <w:p w:rsidR="00817718" w:rsidRPr="00817718" w:rsidRDefault="00817718" w:rsidP="00817718">
            <w:pPr>
              <w:jc w:val="both"/>
              <w:rPr>
                <w:rStyle w:val="baj"/>
                <w:rFonts w:ascii="Cambria" w:hAnsi="Cambria"/>
                <w:b/>
                <w:bCs/>
                <w:color w:val="343536"/>
                <w:spacing w:val="2"/>
                <w:sz w:val="20"/>
                <w:szCs w:val="20"/>
              </w:rPr>
            </w:pPr>
          </w:p>
          <w:p w:rsidR="00817718" w:rsidRPr="00817718" w:rsidRDefault="00817718" w:rsidP="00817718">
            <w:pPr>
              <w:jc w:val="both"/>
              <w:rPr>
                <w:rStyle w:val="baj"/>
                <w:color w:val="343536"/>
                <w:spacing w:val="2"/>
                <w:sz w:val="20"/>
                <w:szCs w:val="20"/>
              </w:rPr>
            </w:pPr>
          </w:p>
          <w:p w:rsidR="00817718" w:rsidRPr="00817718" w:rsidRDefault="00817718" w:rsidP="00817718">
            <w:pPr>
              <w:jc w:val="both"/>
              <w:rPr>
                <w:rStyle w:val="baj"/>
                <w:rFonts w:ascii="Cambria" w:hAnsi="Cambria"/>
                <w:b/>
                <w:bCs/>
                <w:color w:val="343536"/>
                <w:spacing w:val="2"/>
                <w:sz w:val="20"/>
                <w:szCs w:val="20"/>
              </w:rPr>
            </w:pPr>
          </w:p>
          <w:p w:rsidR="00817718" w:rsidRPr="00817718" w:rsidRDefault="00817718" w:rsidP="00817718">
            <w:pPr>
              <w:jc w:val="both"/>
              <w:rPr>
                <w:rFonts w:ascii="Cambria" w:hAnsi="Cambria"/>
                <w:sz w:val="20"/>
                <w:szCs w:val="20"/>
              </w:rPr>
            </w:pPr>
            <w:r w:rsidRPr="00817718">
              <w:rPr>
                <w:rStyle w:val="baj"/>
                <w:rFonts w:ascii="Cambria" w:hAnsi="Cambria"/>
                <w:b/>
                <w:bCs/>
                <w:color w:val="343536"/>
                <w:spacing w:val="2"/>
                <w:sz w:val="20"/>
                <w:szCs w:val="20"/>
              </w:rPr>
              <w:t>PARÁGRAFO.</w:t>
            </w:r>
            <w:r w:rsidRPr="00817718">
              <w:rPr>
                <w:rFonts w:ascii="Cambria" w:hAnsi="Cambria"/>
                <w:sz w:val="20"/>
                <w:szCs w:val="20"/>
              </w:rPr>
              <w:t xml:space="preserve">  Para acreditar el pago de los impuestos correspondientes a la respectiva transacción, el titular de la inversión extranjera que realiza la transacción deberá presentar declaración de renta y complementarios con la liquidación y pago del impuesto que se genere por la respectiva operación, en los bancos autorizados, para lo cual podrá utilizar el formulario señalado para la vigencia gravable inmediatamente </w:t>
            </w:r>
            <w:proofErr w:type="spellStart"/>
            <w:r w:rsidRPr="00817718">
              <w:rPr>
                <w:rFonts w:ascii="Cambria" w:hAnsi="Cambria"/>
                <w:sz w:val="20"/>
                <w:szCs w:val="20"/>
              </w:rPr>
              <w:t>anter</w:t>
            </w:r>
            <w:proofErr w:type="spellEnd"/>
            <w:r w:rsidRPr="00817718">
              <w:rPr>
                <w:rFonts w:ascii="Cambria" w:hAnsi="Cambria"/>
                <w:sz w:val="20"/>
                <w:szCs w:val="20"/>
              </w:rPr>
              <w:t xml:space="preserve"> </w:t>
            </w:r>
            <w:proofErr w:type="spellStart"/>
            <w:r w:rsidRPr="00817718">
              <w:rPr>
                <w:rFonts w:ascii="Cambria" w:hAnsi="Cambria"/>
                <w:sz w:val="20"/>
                <w:szCs w:val="20"/>
              </w:rPr>
              <w:t>ior</w:t>
            </w:r>
            <w:proofErr w:type="spellEnd"/>
            <w:r w:rsidRPr="00817718">
              <w:rPr>
                <w:rFonts w:ascii="Cambria" w:hAnsi="Cambria"/>
                <w:sz w:val="20"/>
                <w:szCs w:val="20"/>
              </w:rPr>
              <w:t>, de lo contrario no se podrá registrar el cambio de titular de la inversión.</w:t>
            </w:r>
          </w:p>
          <w:p w:rsidR="00817718" w:rsidRPr="00817718" w:rsidRDefault="00817718" w:rsidP="00817718">
            <w:pPr>
              <w:jc w:val="both"/>
              <w:rPr>
                <w:rFonts w:ascii="Cambria" w:hAnsi="Cambria" w:cstheme="minorHAnsi"/>
                <w:b/>
                <w:color w:val="000000" w:themeColor="text1"/>
                <w:sz w:val="20"/>
                <w:szCs w:val="20"/>
                <w:lang w:eastAsia="es-CO"/>
              </w:rPr>
            </w:pPr>
          </w:p>
        </w:tc>
        <w:tc>
          <w:tcPr>
            <w:tcW w:w="4865" w:type="dxa"/>
          </w:tcPr>
          <w:p w:rsidR="00817718" w:rsidRPr="00817718" w:rsidRDefault="00817718" w:rsidP="00817718">
            <w:pPr>
              <w:jc w:val="both"/>
              <w:rPr>
                <w:rFonts w:ascii="Cambria" w:hAnsi="Cambria"/>
                <w:sz w:val="20"/>
                <w:szCs w:val="20"/>
              </w:rPr>
            </w:pPr>
            <w:r w:rsidRPr="00817718">
              <w:rPr>
                <w:rFonts w:ascii="Cambria" w:hAnsi="Cambria"/>
                <w:b/>
                <w:bCs/>
                <w:color w:val="000000" w:themeColor="text1"/>
                <w:sz w:val="20"/>
                <w:szCs w:val="20"/>
              </w:rPr>
              <w:lastRenderedPageBreak/>
              <w:t xml:space="preserve">Articulo 326. Requisitos para la autorización de cambio de titular de inversión extranjera </w:t>
            </w:r>
            <w:r w:rsidRPr="00817718">
              <w:rPr>
                <w:rFonts w:ascii="Cambria" w:hAnsi="Cambria"/>
                <w:b/>
                <w:bCs/>
                <w:color w:val="FF0000"/>
                <w:sz w:val="20"/>
                <w:szCs w:val="20"/>
              </w:rPr>
              <w:t xml:space="preserve">(modificado con artículo 75 proyecto de </w:t>
            </w:r>
            <w:r w:rsidR="00FB60A2">
              <w:rPr>
                <w:rFonts w:ascii="Cambria" w:hAnsi="Cambria"/>
                <w:b/>
                <w:bCs/>
                <w:color w:val="FF0000"/>
                <w:sz w:val="20"/>
                <w:szCs w:val="20"/>
              </w:rPr>
              <w:t>Ley de septiembre de 2025</w:t>
            </w:r>
            <w:r w:rsidRPr="00817718">
              <w:rPr>
                <w:rFonts w:ascii="Cambria" w:hAnsi="Cambria"/>
                <w:b/>
                <w:bCs/>
                <w:color w:val="FF0000"/>
                <w:sz w:val="20"/>
                <w:szCs w:val="20"/>
              </w:rPr>
              <w:t>)</w:t>
            </w:r>
            <w:r w:rsidRPr="00817718">
              <w:rPr>
                <w:rFonts w:ascii="Cambria" w:hAnsi="Cambria"/>
                <w:b/>
                <w:bCs/>
                <w:color w:val="000000" w:themeColor="text1"/>
                <w:sz w:val="20"/>
                <w:szCs w:val="20"/>
              </w:rPr>
              <w:t>.</w:t>
            </w:r>
            <w:r w:rsidRPr="00817718">
              <w:rPr>
                <w:rFonts w:ascii="Cambria" w:hAnsi="Cambria"/>
                <w:color w:val="000000" w:themeColor="text1"/>
                <w:sz w:val="20"/>
                <w:szCs w:val="20"/>
              </w:rPr>
              <w:t> </w:t>
            </w:r>
            <w:r w:rsidRPr="00817718">
              <w:rPr>
                <w:rFonts w:ascii="Cambria" w:hAnsi="Cambria"/>
                <w:sz w:val="20"/>
                <w:szCs w:val="20"/>
              </w:rPr>
              <w:t xml:space="preserve">Para autorizar el cambio de titular de una inversión extranjera, el organismo </w:t>
            </w:r>
            <w:r w:rsidRPr="00817718">
              <w:rPr>
                <w:rFonts w:ascii="Cambria" w:hAnsi="Cambria"/>
                <w:sz w:val="20"/>
                <w:szCs w:val="20"/>
              </w:rPr>
              <w:lastRenderedPageBreak/>
              <w:t>nacional competente deberá exigir que se haya acreditado, ante la Dirección General de Impuestos Nacionales</w:t>
            </w:r>
            <w:r w:rsidRPr="00817718">
              <w:rPr>
                <w:rFonts w:ascii="Cambria" w:hAnsi="Cambria"/>
                <w:sz w:val="20"/>
                <w:szCs w:val="20"/>
                <w:vertAlign w:val="superscript"/>
              </w:rPr>
              <w:t>&lt;</w:t>
            </w:r>
            <w:hyperlink r:id="rId45" w:anchor="NP1" w:history="1">
              <w:r w:rsidRPr="00817718">
                <w:rPr>
                  <w:rStyle w:val="Hipervnculo"/>
                  <w:rFonts w:ascii="Cambria" w:hAnsi="Cambria"/>
                  <w:color w:val="00A9E0"/>
                  <w:spacing w:val="2"/>
                  <w:sz w:val="20"/>
                  <w:szCs w:val="20"/>
                  <w:vertAlign w:val="superscript"/>
                </w:rPr>
                <w:t>1</w:t>
              </w:r>
            </w:hyperlink>
            <w:r w:rsidRPr="00817718">
              <w:rPr>
                <w:rFonts w:ascii="Cambria" w:hAnsi="Cambria"/>
                <w:sz w:val="20"/>
                <w:szCs w:val="20"/>
                <w:vertAlign w:val="superscript"/>
              </w:rPr>
              <w:t>&gt;</w:t>
            </w:r>
            <w:r w:rsidRPr="00817718">
              <w:rPr>
                <w:rFonts w:ascii="Cambria" w:hAnsi="Cambria"/>
                <w:sz w:val="20"/>
                <w:szCs w:val="20"/>
              </w:rPr>
              <w:t>, el pago de los impuestos correspondientes a la respectiva transacción o se haya otorgado garantía del pago de dicho impuesto.</w:t>
            </w:r>
          </w:p>
          <w:p w:rsidR="00817718" w:rsidRPr="00817718" w:rsidRDefault="00817718" w:rsidP="00817718">
            <w:pPr>
              <w:jc w:val="both"/>
              <w:rPr>
                <w:rStyle w:val="baj"/>
                <w:rFonts w:ascii="Cambria" w:hAnsi="Cambria"/>
                <w:b/>
                <w:bCs/>
                <w:color w:val="343536"/>
                <w:spacing w:val="2"/>
                <w:sz w:val="20"/>
                <w:szCs w:val="20"/>
              </w:rPr>
            </w:pPr>
          </w:p>
          <w:p w:rsidR="00817718" w:rsidRPr="00817718" w:rsidRDefault="00817718" w:rsidP="00817718">
            <w:pPr>
              <w:jc w:val="both"/>
              <w:rPr>
                <w:rFonts w:ascii="Cambria" w:hAnsi="Cambria"/>
                <w:sz w:val="20"/>
                <w:szCs w:val="20"/>
              </w:rPr>
            </w:pPr>
            <w:r w:rsidRPr="00817718">
              <w:rPr>
                <w:rStyle w:val="baj"/>
                <w:rFonts w:ascii="Cambria" w:hAnsi="Cambria"/>
                <w:b/>
                <w:bCs/>
                <w:color w:val="343536"/>
                <w:spacing w:val="2"/>
                <w:sz w:val="20"/>
                <w:szCs w:val="20"/>
              </w:rPr>
              <w:t>PARÁGRAFO.</w:t>
            </w:r>
            <w:r w:rsidRPr="00817718">
              <w:rPr>
                <w:rFonts w:ascii="Cambria" w:hAnsi="Cambria"/>
                <w:sz w:val="20"/>
                <w:szCs w:val="20"/>
              </w:rPr>
              <w:t xml:space="preserve">  Para acreditar el pago de los impuestos correspondientes a la respectiva transacción, el titular de la inversión extranjera que realiza la transacción deberá presentar declaración de renta y complementarios con la liquidación y pago del impuesto que se genere por la respectiva operación, en los bancos autorizados, para lo cual podrá utilizar el formulario señalado para la vigencia gravable inmediatamente </w:t>
            </w:r>
            <w:proofErr w:type="spellStart"/>
            <w:r w:rsidRPr="00817718">
              <w:rPr>
                <w:rFonts w:ascii="Cambria" w:hAnsi="Cambria"/>
                <w:sz w:val="20"/>
                <w:szCs w:val="20"/>
              </w:rPr>
              <w:t>anter</w:t>
            </w:r>
            <w:proofErr w:type="spellEnd"/>
            <w:r w:rsidRPr="00817718">
              <w:rPr>
                <w:rFonts w:ascii="Cambria" w:hAnsi="Cambria"/>
                <w:sz w:val="20"/>
                <w:szCs w:val="20"/>
              </w:rPr>
              <w:t xml:space="preserve"> </w:t>
            </w:r>
            <w:proofErr w:type="spellStart"/>
            <w:r w:rsidRPr="00817718">
              <w:rPr>
                <w:rFonts w:ascii="Cambria" w:hAnsi="Cambria"/>
                <w:sz w:val="20"/>
                <w:szCs w:val="20"/>
              </w:rPr>
              <w:t>ior</w:t>
            </w:r>
            <w:proofErr w:type="spellEnd"/>
            <w:r w:rsidRPr="00817718">
              <w:rPr>
                <w:rFonts w:ascii="Cambria" w:hAnsi="Cambria"/>
                <w:sz w:val="20"/>
                <w:szCs w:val="20"/>
              </w:rPr>
              <w:t>, de lo contrario no se podrá registrar el cambio de titular de la inversión.</w:t>
            </w:r>
          </w:p>
          <w:p w:rsidR="00817718" w:rsidRDefault="00817718" w:rsidP="00817718">
            <w:pPr>
              <w:jc w:val="both"/>
              <w:rPr>
                <w:rFonts w:ascii="Cambria" w:hAnsi="Cambria" w:cstheme="minorHAnsi"/>
                <w:b/>
                <w:color w:val="000000" w:themeColor="text1"/>
                <w:sz w:val="20"/>
                <w:szCs w:val="20"/>
                <w:lang w:eastAsia="es-CO"/>
              </w:rPr>
            </w:pPr>
          </w:p>
          <w:p w:rsidR="00817718" w:rsidRDefault="00817718" w:rsidP="00817718">
            <w:pPr>
              <w:jc w:val="both"/>
              <w:rPr>
                <w:rFonts w:ascii="Cambria" w:hAnsi="Cambria"/>
                <w:sz w:val="20"/>
                <w:szCs w:val="20"/>
              </w:rPr>
            </w:pPr>
            <w:r w:rsidRPr="00817718">
              <w:rPr>
                <w:rFonts w:ascii="Cambria" w:hAnsi="Cambria"/>
                <w:b/>
                <w:bCs/>
                <w:sz w:val="20"/>
                <w:szCs w:val="20"/>
                <w:highlight w:val="yellow"/>
              </w:rPr>
              <w:t>Parágrafo 2</w:t>
            </w:r>
            <w:r w:rsidRPr="00817718">
              <w:rPr>
                <w:rFonts w:ascii="Cambria" w:hAnsi="Cambria"/>
                <w:sz w:val="20"/>
                <w:szCs w:val="20"/>
                <w:highlight w:val="yellow"/>
              </w:rPr>
              <w:t>. El registro en el libro de socios o accionistas del cambio de titularidad de inversionista extranjero estará supeditado a la condición resolutoria. La condición resolutoria consiste en que el representante legal de la sociedad receptora de la inversión reciba, a más tardar dentro del mes siguiente a la transacción, la declaración y pago, si hay lugar a ello, del impuesto que se genere por el cambio de titular de inversión extranjera. El incumplimiento de la condición resolverá el registro, como si nunca se hubiera realizado. Adicionalmente, hará responsable solidariamente a la sociedad receptora de la inversión y al representante legal de los impuestos, sanciones e intereses dejados de pagar por el titular, así como del deber de presentar la respectiva declaración dentro del mes siguiente al vencimiento del plazo previsto para el inversionista del exterior.</w:t>
            </w:r>
          </w:p>
          <w:p w:rsidR="00817718" w:rsidRPr="00817718" w:rsidRDefault="00817718" w:rsidP="00817718">
            <w:pPr>
              <w:jc w:val="both"/>
              <w:rPr>
                <w:rFonts w:ascii="Cambria" w:hAnsi="Cambria" w:cstheme="minorHAnsi"/>
                <w:b/>
                <w:color w:val="000000" w:themeColor="text1"/>
                <w:sz w:val="20"/>
                <w:szCs w:val="20"/>
                <w:lang w:eastAsia="es-CO"/>
              </w:rPr>
            </w:pPr>
          </w:p>
        </w:tc>
      </w:tr>
      <w:tr w:rsidR="00817718" w:rsidTr="0059378C">
        <w:tc>
          <w:tcPr>
            <w:tcW w:w="4958" w:type="dxa"/>
          </w:tcPr>
          <w:p w:rsidR="00817718" w:rsidRPr="00817718" w:rsidRDefault="00817718" w:rsidP="00817718">
            <w:pPr>
              <w:jc w:val="both"/>
              <w:rPr>
                <w:rFonts w:ascii="Cambria" w:hAnsi="Cambria" w:cs="Arial"/>
                <w:sz w:val="20"/>
                <w:szCs w:val="20"/>
              </w:rPr>
            </w:pPr>
            <w:r w:rsidRPr="00817718">
              <w:rPr>
                <w:rFonts w:ascii="Cambria" w:hAnsi="Cambria" w:cs="Arial"/>
                <w:b/>
                <w:bCs/>
                <w:sz w:val="20"/>
                <w:szCs w:val="20"/>
              </w:rPr>
              <w:lastRenderedPageBreak/>
              <w:t xml:space="preserve">Artículo 336. Renta líquida gravable de la cédula general . </w:t>
            </w:r>
            <w:r w:rsidRPr="00817718">
              <w:rPr>
                <w:rFonts w:ascii="Cambria" w:hAnsi="Cambria" w:cs="Arial"/>
                <w:sz w:val="20"/>
                <w:szCs w:val="20"/>
              </w:rPr>
              <w:t>Para efectos de establecer la renta líquida de la cédula general, se seguirán las siguientes reglas: </w:t>
            </w:r>
          </w:p>
          <w:p w:rsid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1. Se sumarán los ingresos obtenidos por todo concepto excepto los correspondientes a dividendos y ganancias ocasionales.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2. A la suma anterior, se le restarán los ingresos no constitutivos de renta imputables a cada ingreso.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3. Al valor resultante podrán restarse todas las rentas exentas y las deducciones especiales imputables a esta cédula, siempre que no excedan el cuarenta (40%) del resultado del numeral anterior, que en todo caso no puede exceder de mil trescientos cuarenta (1.340) UVT anuales.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highlight w:val="yellow"/>
              </w:rPr>
              <w:t>Sin perjuicio de lo establecido en el inciso 2 del artículo 387 del Estatuto Tributario, el trabajador podrá deducir, en adición al límite establecido en el inciso anterior, setenta y dos (72) UVT por dependiente hasta un máximo de cuatro (4) dependientes</w:t>
            </w:r>
            <w:r w:rsidRPr="00817718">
              <w:rPr>
                <w:rFonts w:ascii="Cambria" w:hAnsi="Cambria" w:cs="Arial"/>
                <w:sz w:val="20"/>
                <w:szCs w:val="20"/>
              </w:rPr>
              <w:t>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4. En la depuración de las rentas no laborales y las rentas de capital se podrán restar los costos y los gastos que cumplan con los requisitos generales para su procedencia establecidos en las normas de este Estatuto y que sean imputables a estas rentas específicas.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En estos mismos términos también se podrán restar los costos y los gastos asociados a rentas de trabajo que no provengan de una relación laboral o legal y reglamentaria, caso en el cual los contribuyentes deberán optar entre restar los costos y gastos procedentes o la renta exenta prevista en el numeral 10 del artículo 206 del Estatuto Tributario conforme con lo dispuesto en el parágrafo 5 del mismo artículo. </w:t>
            </w:r>
          </w:p>
          <w:p w:rsidR="00817718" w:rsidRDefault="00817718" w:rsidP="00817718">
            <w:pPr>
              <w:jc w:val="both"/>
              <w:rPr>
                <w:rFonts w:ascii="Cambria" w:hAnsi="Cambria" w:cs="Arial"/>
                <w:color w:val="4B4949"/>
                <w:sz w:val="20"/>
                <w:szCs w:val="20"/>
              </w:rPr>
            </w:pPr>
          </w:p>
          <w:p w:rsidR="00817718" w:rsidRPr="00817718" w:rsidRDefault="00817718" w:rsidP="00817718">
            <w:pPr>
              <w:jc w:val="both"/>
              <w:rPr>
                <w:rFonts w:ascii="Cambria" w:hAnsi="Cambria" w:cs="Arial"/>
                <w:color w:val="4B4949"/>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 xml:space="preserve">5. Las personas naturales que declaren ingresos de la cédula general a los que se refiere el artículo 335 de este Estatuto, que adquieran bienes y/o servicios, podrán solicitar como deducción en el impuesto sobre la renta, independientemente que tenga o no relación de causalidad con la actividad productora de renta del contribuyente, el </w:t>
            </w:r>
            <w:r w:rsidRPr="00817718">
              <w:rPr>
                <w:rFonts w:ascii="Cambria" w:hAnsi="Cambria" w:cs="Arial"/>
                <w:sz w:val="20"/>
                <w:szCs w:val="20"/>
                <w:highlight w:val="yellow"/>
              </w:rPr>
              <w:t>uno</w:t>
            </w:r>
            <w:r w:rsidRPr="00817718">
              <w:rPr>
                <w:rFonts w:ascii="Cambria" w:hAnsi="Cambria" w:cs="Arial"/>
                <w:sz w:val="20"/>
                <w:szCs w:val="20"/>
              </w:rPr>
              <w:t xml:space="preserve"> por ciento (</w:t>
            </w:r>
            <w:r w:rsidRPr="00817718">
              <w:rPr>
                <w:rFonts w:ascii="Cambria" w:hAnsi="Cambria" w:cs="Arial"/>
                <w:sz w:val="20"/>
                <w:szCs w:val="20"/>
                <w:highlight w:val="yellow"/>
              </w:rPr>
              <w:t>1%)</w:t>
            </w:r>
            <w:r w:rsidRPr="00817718">
              <w:rPr>
                <w:rFonts w:ascii="Cambria" w:hAnsi="Cambria" w:cs="Arial"/>
                <w:sz w:val="20"/>
                <w:szCs w:val="20"/>
              </w:rPr>
              <w:t xml:space="preserve"> del valor de las adquisiciones, sin que exceda doscientas cuarenta (240) UVT en el respectivo año gravable, siempre que se cumpla con los siguientes requisitos: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5.1. Que la adquisición del bien y/o del servicio no haya sido solicitada como costo o deducción en el impuesto sobre la renta, impuesto descontable en el impuesto sobre las ventas -IVA, ingreso no constitutivo de renta ni ganancia ocasional, renta exenta, descuento tributario u otro tipo de beneficio o crédito fiscal.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spacing w:after="261"/>
              <w:jc w:val="both"/>
              <w:rPr>
                <w:rFonts w:ascii="Cambria" w:hAnsi="Cambria" w:cs="Arial"/>
                <w:sz w:val="20"/>
                <w:szCs w:val="20"/>
              </w:rPr>
            </w:pPr>
            <w:r w:rsidRPr="00817718">
              <w:rPr>
                <w:rFonts w:ascii="Cambria" w:hAnsi="Cambria" w:cs="Arial"/>
                <w:sz w:val="20"/>
                <w:szCs w:val="20"/>
              </w:rPr>
              <w:t>5.2. Que la adquisición del bien y/o del servicio esté soportada con factura electrónica de venta con validación previa, en donde se identifique el adquirente con nombres y apellidos y el número de identificación tributaria -NIT o número de documento de identificación, y con el cumplimiento de todos los demás requisitos exigibles para este sistema de facturación. </w:t>
            </w:r>
          </w:p>
          <w:p w:rsidR="00817718" w:rsidRPr="00817718" w:rsidRDefault="00817718" w:rsidP="00817718">
            <w:pPr>
              <w:spacing w:after="261"/>
              <w:jc w:val="both"/>
              <w:rPr>
                <w:rFonts w:ascii="Cambria" w:hAnsi="Cambria" w:cs="Arial"/>
                <w:sz w:val="20"/>
                <w:szCs w:val="20"/>
              </w:rPr>
            </w:pPr>
            <w:r w:rsidRPr="00817718">
              <w:rPr>
                <w:rFonts w:ascii="Cambria" w:hAnsi="Cambria" w:cs="Arial"/>
                <w:sz w:val="20"/>
                <w:szCs w:val="20"/>
              </w:rPr>
              <w:lastRenderedPageBreak/>
              <w:t>5.3. Que la factura electrónica de venta se encuentre pagada a través de tarjeta débito, crédito o cualquier medio electrónico en el cual intervenga una entidad vigilada por la Superintendencia Financiera o quien haga sus veces, dentro del periodo gravable en el cual se solicita la deducción de que trata el presente numeral. </w:t>
            </w: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5.4. Que la factura electrónica de venta haya sido expedida por sujetos obligados a expedirla.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La deducción de que trata el presente numeral no se encuentra sujeta al límite previsto en el numeral 3 del presente artículo y no se tendrá en cuenta para el cálculo de la retención en la fuente, ni podrá dar lugar a pérdidas. </w:t>
            </w:r>
          </w:p>
          <w:p w:rsidR="00817718" w:rsidRPr="00817718" w:rsidRDefault="00817718" w:rsidP="00817718">
            <w:pPr>
              <w:rPr>
                <w:rFonts w:ascii="Arial" w:hAnsi="Arial" w:cs="Arial"/>
                <w:sz w:val="20"/>
                <w:szCs w:val="20"/>
              </w:rPr>
            </w:pPr>
          </w:p>
          <w:p w:rsidR="00817718" w:rsidRPr="00817718" w:rsidRDefault="00817718" w:rsidP="00817718">
            <w:pPr>
              <w:jc w:val="both"/>
              <w:rPr>
                <w:rFonts w:ascii="Cambria" w:hAnsi="Cambria" w:cs="Arial"/>
                <w:i/>
                <w:iCs/>
                <w:color w:val="0070C0"/>
                <w:sz w:val="20"/>
                <w:szCs w:val="20"/>
              </w:rPr>
            </w:pPr>
          </w:p>
        </w:tc>
        <w:tc>
          <w:tcPr>
            <w:tcW w:w="4865" w:type="dxa"/>
          </w:tcPr>
          <w:p w:rsidR="00817718" w:rsidRPr="00817718" w:rsidRDefault="00817718" w:rsidP="00817718">
            <w:pPr>
              <w:jc w:val="both"/>
              <w:rPr>
                <w:rFonts w:ascii="Cambria" w:hAnsi="Cambria" w:cs="Arial"/>
                <w:sz w:val="20"/>
                <w:szCs w:val="20"/>
              </w:rPr>
            </w:pPr>
            <w:r w:rsidRPr="00817718">
              <w:rPr>
                <w:rFonts w:ascii="Cambria" w:hAnsi="Cambria" w:cs="Arial"/>
                <w:b/>
                <w:bCs/>
                <w:sz w:val="20"/>
                <w:szCs w:val="20"/>
              </w:rPr>
              <w:lastRenderedPageBreak/>
              <w:t xml:space="preserve">Artículo 336. Renta líquida gravable de la cédula general </w:t>
            </w:r>
            <w:r w:rsidRPr="00817718">
              <w:rPr>
                <w:rFonts w:ascii="Cambria" w:hAnsi="Cambria"/>
                <w:b/>
                <w:bCs/>
                <w:sz w:val="20"/>
                <w:szCs w:val="20"/>
              </w:rPr>
              <w:t>(</w:t>
            </w:r>
            <w:r w:rsidRPr="00817718">
              <w:rPr>
                <w:rFonts w:ascii="Cambria" w:hAnsi="Cambria" w:cs="Arial"/>
                <w:b/>
                <w:color w:val="FF0000"/>
                <w:sz w:val="20"/>
                <w:szCs w:val="20"/>
              </w:rPr>
              <w:t xml:space="preserve">modificado con artículos 56 y 95 del proyecto de </w:t>
            </w:r>
            <w:r w:rsidR="00FB60A2">
              <w:rPr>
                <w:rFonts w:ascii="Cambria" w:hAnsi="Cambria" w:cs="Arial"/>
                <w:b/>
                <w:color w:val="FF0000"/>
                <w:sz w:val="20"/>
                <w:szCs w:val="20"/>
              </w:rPr>
              <w:t>Ley de septiembre de 2025</w:t>
            </w:r>
            <w:r w:rsidRPr="00817718">
              <w:rPr>
                <w:rFonts w:ascii="Cambria" w:hAnsi="Cambria" w:cs="Arial"/>
                <w:b/>
                <w:color w:val="FF0000"/>
                <w:sz w:val="20"/>
                <w:szCs w:val="20"/>
              </w:rPr>
              <w:t>)</w:t>
            </w:r>
            <w:r w:rsidRPr="00817718">
              <w:rPr>
                <w:rFonts w:ascii="Cambria" w:hAnsi="Cambria" w:cs="Arial"/>
                <w:b/>
                <w:bCs/>
                <w:sz w:val="20"/>
                <w:szCs w:val="20"/>
              </w:rPr>
              <w:t xml:space="preserve">. </w:t>
            </w:r>
            <w:r w:rsidRPr="00817718">
              <w:rPr>
                <w:rFonts w:ascii="Cambria" w:hAnsi="Cambria" w:cs="Arial"/>
                <w:sz w:val="20"/>
                <w:szCs w:val="20"/>
              </w:rPr>
              <w:t>Para efectos de establecer la renta líquida de la cédula general, se seguirán las siguientes reglas: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1. Se sumarán los ingresos obtenidos por todo concepto excepto los correspondientes a dividendos y ganancias ocasionales.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2. A la suma anterior, se le restarán los ingresos no constitutivos de renta imputables a cada ingreso.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3. Al valor resultante podrán restarse todas las rentas exentas y las deducciones especiales imputables a esta cédula, siempre que no excedan el cuarenta (40%) del resultado del numeral anterior, que en todo caso no puede exceder de mil trescientos cuarenta (1.340) UVT anuales.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highlight w:val="yellow"/>
              </w:rPr>
              <w:t>Derogado</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4. En la depuración de las rentas no laborales y las rentas de capital se podrán restar los costos y los gastos que cumplan con los requisitos generales para su procedencia establecidos en las normas de este Estatuto y que sean imputables a estas rentas específicas.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En estos mismos términos también se podrán restar los costos y los gastos asociados a rentas de trabajo que no provengan de una relación laboral o legal y reglamentaria, caso en el cual los contribuyentes deberán optar entre restar los costos y gastos procedentes o la renta exenta prevista en el numeral 10 del artículo 206 del Estatuto Tributario conforme con lo dispuesto en el parágrafo 5 del mismo artículo. </w:t>
            </w:r>
          </w:p>
          <w:p w:rsidR="00817718" w:rsidRPr="00817718" w:rsidRDefault="00817718" w:rsidP="00817718">
            <w:pPr>
              <w:jc w:val="both"/>
              <w:rPr>
                <w:rFonts w:ascii="Cambria" w:hAnsi="Cambria" w:cs="Arial"/>
                <w:color w:val="4B4949"/>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 xml:space="preserve">5. Las personas naturales que declaren ingresos de la cédula general a los que se refiere el artículo 335 de este Estatuto, que adquieran bienes y/o servicios, podrán solicitar como deducción en el impuesto sobre la renta, independientemente que tenga o no relación de causalidad con la actividad productora de renta del contribuyente, el </w:t>
            </w:r>
            <w:r w:rsidRPr="00817718">
              <w:rPr>
                <w:rFonts w:ascii="Cambria" w:hAnsi="Cambria" w:cs="Arial"/>
                <w:sz w:val="20"/>
                <w:szCs w:val="20"/>
                <w:highlight w:val="yellow"/>
              </w:rPr>
              <w:t>cinco</w:t>
            </w:r>
            <w:r w:rsidRPr="00817718">
              <w:rPr>
                <w:rFonts w:ascii="Cambria" w:hAnsi="Cambria" w:cs="Arial"/>
                <w:sz w:val="20"/>
                <w:szCs w:val="20"/>
              </w:rPr>
              <w:t xml:space="preserve"> por ciento (</w:t>
            </w:r>
            <w:r w:rsidRPr="00817718">
              <w:rPr>
                <w:rFonts w:ascii="Cambria" w:hAnsi="Cambria" w:cs="Arial"/>
                <w:sz w:val="20"/>
                <w:szCs w:val="20"/>
                <w:highlight w:val="yellow"/>
              </w:rPr>
              <w:t>5%) en el año gravable 2026, tres por ciento (3%) en el año gravable 2027 y uno por ciento (1%) en adelante</w:t>
            </w:r>
            <w:r w:rsidRPr="00817718">
              <w:rPr>
                <w:rFonts w:ascii="Cambria" w:hAnsi="Cambria" w:cs="Arial"/>
                <w:sz w:val="20"/>
                <w:szCs w:val="20"/>
              </w:rPr>
              <w:t xml:space="preserve">  del valor de las adquisiciones, sin que exceda doscientas cuarenta (240) UVT en el respectivo año gravable, siempre que se cumpla con los siguientes requisitos: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5.1. Que la adquisición del bien y/o del servicio no haya sido solicitada como costo o deducción en el impuesto sobre la renta, impuesto descontable en el impuesto sobre las ventas -IVA, ingreso no constitutivo de renta ni ganancia ocasional, renta exenta, descuento tributario u otro tipo de beneficio o crédito fiscal.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Cambria" w:hAnsi="Cambria" w:cs="Arial"/>
                <w:sz w:val="20"/>
                <w:szCs w:val="20"/>
              </w:rPr>
            </w:pPr>
          </w:p>
          <w:p w:rsidR="00817718" w:rsidRPr="00817718" w:rsidRDefault="00817718" w:rsidP="00817718">
            <w:pPr>
              <w:spacing w:after="261"/>
              <w:jc w:val="both"/>
              <w:rPr>
                <w:rFonts w:ascii="Cambria" w:hAnsi="Cambria" w:cs="Arial"/>
                <w:sz w:val="20"/>
                <w:szCs w:val="20"/>
              </w:rPr>
            </w:pPr>
            <w:r w:rsidRPr="00817718">
              <w:rPr>
                <w:rFonts w:ascii="Cambria" w:hAnsi="Cambria" w:cs="Arial"/>
                <w:sz w:val="20"/>
                <w:szCs w:val="20"/>
              </w:rPr>
              <w:t xml:space="preserve">5.2. Que la adquisición del bien y/o del servicio esté soportada con factura electrónica de venta con </w:t>
            </w:r>
            <w:r w:rsidRPr="00817718">
              <w:rPr>
                <w:rFonts w:ascii="Cambria" w:hAnsi="Cambria" w:cs="Arial"/>
                <w:sz w:val="20"/>
                <w:szCs w:val="20"/>
                <w:highlight w:val="yellow"/>
              </w:rPr>
              <w:t>validación previa y/o documento equivalente electrónico tiquete de máquina registradora con sistema P.O.S</w:t>
            </w:r>
            <w:r w:rsidRPr="00817718">
              <w:rPr>
                <w:sz w:val="20"/>
                <w:szCs w:val="20"/>
              </w:rPr>
              <w:t xml:space="preserve"> </w:t>
            </w:r>
            <w:r w:rsidRPr="00817718">
              <w:rPr>
                <w:rFonts w:ascii="Cambria" w:hAnsi="Cambria" w:cs="Arial"/>
                <w:sz w:val="20"/>
                <w:szCs w:val="20"/>
              </w:rPr>
              <w:t xml:space="preserve">, en donde se identifique el adquirente con nombres y apellidos y el número de identificación tributaria -NIT o número de documento de identificación, y con el cumplimiento de todos los </w:t>
            </w:r>
            <w:r w:rsidRPr="00817718">
              <w:rPr>
                <w:rFonts w:ascii="Cambria" w:hAnsi="Cambria" w:cs="Arial"/>
                <w:sz w:val="20"/>
                <w:szCs w:val="20"/>
              </w:rPr>
              <w:lastRenderedPageBreak/>
              <w:t>demás requisitos exigibles para este sistema de facturación. </w:t>
            </w:r>
          </w:p>
          <w:p w:rsidR="00817718" w:rsidRPr="00817718" w:rsidRDefault="00817718" w:rsidP="00817718">
            <w:pPr>
              <w:spacing w:after="261"/>
              <w:jc w:val="both"/>
              <w:rPr>
                <w:rFonts w:ascii="Cambria" w:hAnsi="Cambria" w:cs="Arial"/>
                <w:sz w:val="20"/>
                <w:szCs w:val="20"/>
              </w:rPr>
            </w:pPr>
            <w:r w:rsidRPr="00817718">
              <w:rPr>
                <w:rFonts w:ascii="Cambria" w:hAnsi="Cambria" w:cs="Arial"/>
                <w:sz w:val="20"/>
                <w:szCs w:val="20"/>
              </w:rPr>
              <w:t>5.3. Que la factura electrónica de venta se encuentre pagada a través de tarjeta débito, crédito o cualquier medio electrónico en el cual intervenga una entidad vigilada por la Superintendencia Financiera o quien haga sus veces, dentro del periodo gravable en el cual se solicita la deducción de que trata el presente numeral. </w:t>
            </w:r>
          </w:p>
          <w:p w:rsidR="00817718" w:rsidRPr="00817718" w:rsidRDefault="00817718" w:rsidP="00817718">
            <w:pPr>
              <w:jc w:val="both"/>
              <w:rPr>
                <w:rFonts w:ascii="Cambria" w:hAnsi="Cambria" w:cs="Arial"/>
                <w:sz w:val="20"/>
                <w:szCs w:val="20"/>
              </w:rPr>
            </w:pPr>
            <w:r w:rsidRPr="00817718">
              <w:rPr>
                <w:rFonts w:ascii="Cambria" w:hAnsi="Cambria" w:cs="Arial"/>
                <w:sz w:val="20"/>
                <w:szCs w:val="20"/>
              </w:rPr>
              <w:t>5.4. Que la factura electrónica de venta haya sido expedida por sujetos obligados a expedirla. </w:t>
            </w:r>
          </w:p>
          <w:p w:rsidR="00817718" w:rsidRPr="00817718" w:rsidRDefault="00817718" w:rsidP="00817718">
            <w:pPr>
              <w:jc w:val="both"/>
              <w:rPr>
                <w:rFonts w:ascii="Cambria" w:hAnsi="Cambria" w:cs="Arial"/>
                <w:sz w:val="20"/>
                <w:szCs w:val="20"/>
              </w:rPr>
            </w:pPr>
          </w:p>
          <w:p w:rsidR="00817718" w:rsidRPr="00817718" w:rsidRDefault="00817718" w:rsidP="00817718">
            <w:pPr>
              <w:jc w:val="both"/>
              <w:rPr>
                <w:rFonts w:ascii="Arial" w:hAnsi="Arial" w:cs="Arial"/>
                <w:sz w:val="20"/>
                <w:szCs w:val="20"/>
              </w:rPr>
            </w:pPr>
            <w:r w:rsidRPr="00817718">
              <w:rPr>
                <w:rFonts w:ascii="Cambria" w:hAnsi="Cambria" w:cs="Arial"/>
                <w:sz w:val="20"/>
                <w:szCs w:val="20"/>
              </w:rPr>
              <w:t>La deducción de que trata el presente numeral no se encuentra sujeta al límite previsto en el numeral 3 del presente artículo y no se tendrá en cuenta para el cálculo de la retención en la fuente, ni podrá dar lugar a pérdidas. </w:t>
            </w:r>
          </w:p>
          <w:p w:rsidR="00817718" w:rsidRPr="00817718" w:rsidRDefault="00817718" w:rsidP="00817718">
            <w:pPr>
              <w:jc w:val="both"/>
              <w:rPr>
                <w:rFonts w:ascii="Cambria" w:hAnsi="Cambria" w:cs="Arial"/>
                <w:i/>
                <w:iCs/>
                <w:color w:val="0070C0"/>
                <w:sz w:val="20"/>
                <w:szCs w:val="20"/>
              </w:rPr>
            </w:pPr>
          </w:p>
        </w:tc>
      </w:tr>
      <w:tr w:rsidR="00817718" w:rsidTr="0059378C">
        <w:tc>
          <w:tcPr>
            <w:tcW w:w="4958" w:type="dxa"/>
          </w:tcPr>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b/>
                <w:color w:val="000000" w:themeColor="text1"/>
                <w:sz w:val="20"/>
                <w:szCs w:val="20"/>
                <w:lang w:eastAsia="es-CO"/>
              </w:rPr>
              <w:lastRenderedPageBreak/>
              <w:t xml:space="preserve">Articulo 383. Tarifa </w:t>
            </w:r>
            <w:r w:rsidRPr="003042D8">
              <w:rPr>
                <w:rFonts w:ascii="Cambria" w:hAnsi="Cambria" w:cstheme="minorHAnsi"/>
                <w:color w:val="000000" w:themeColor="text1"/>
                <w:sz w:val="20"/>
                <w:szCs w:val="20"/>
                <w:lang w:eastAsia="es-CO"/>
              </w:rPr>
              <w:t>La retención en la fuente aplicable a los pagos gravables efectuados por las personas naturales o jurídicas, las sociedades de hecho, las comunidades organizadas y las sucesiones ilíquidas, originados en la relación laboral, o legal y reglamentaria, y los pagos recibidos por concepto de pensiones de jubilación, invalidez, vejez, de sobrevivientes y sobre riesgos laborales, será la que resulte de aplicar a dichos pagos la siguiente tabla de retención en la fuente:</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pStyle w:val="NormalWeb"/>
              <w:spacing w:before="0" w:beforeAutospacing="0" w:after="0" w:afterAutospacing="0"/>
              <w:jc w:val="both"/>
              <w:rPr>
                <w:rFonts w:ascii="Cambria" w:hAnsi="Cambria" w:cstheme="minorHAnsi"/>
                <w:color w:val="000000" w:themeColor="text1"/>
                <w:sz w:val="20"/>
                <w:szCs w:val="20"/>
              </w:rPr>
            </w:pPr>
          </w:p>
          <w:tbl>
            <w:tblPr>
              <w:tblStyle w:val="Tablaconcuadrcula"/>
              <w:tblW w:w="0" w:type="auto"/>
              <w:tblLook w:val="04A0" w:firstRow="1" w:lastRow="0" w:firstColumn="1" w:lastColumn="0" w:noHBand="0" w:noVBand="1"/>
            </w:tblPr>
            <w:tblGrid>
              <w:gridCol w:w="1019"/>
              <w:gridCol w:w="1019"/>
              <w:gridCol w:w="1020"/>
              <w:gridCol w:w="1147"/>
            </w:tblGrid>
            <w:tr w:rsidR="00817718" w:rsidRPr="003042D8" w:rsidTr="00444E3F">
              <w:tc>
                <w:tcPr>
                  <w:tcW w:w="2038" w:type="dxa"/>
                  <w:gridSpan w:val="2"/>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 xml:space="preserve">Rangos en UVT </w:t>
                  </w:r>
                </w:p>
              </w:tc>
              <w:tc>
                <w:tcPr>
                  <w:tcW w:w="1020" w:type="dxa"/>
                  <w:vMerge w:val="restart"/>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Tarifa marginal</w:t>
                  </w:r>
                </w:p>
              </w:tc>
              <w:tc>
                <w:tcPr>
                  <w:tcW w:w="1147" w:type="dxa"/>
                  <w:vMerge w:val="restart"/>
                  <w:vAlign w:val="center"/>
                </w:tcPr>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lang w:val="es-ES"/>
                    </w:rPr>
                  </w:pPr>
                  <w:r w:rsidRPr="003042D8">
                    <w:rPr>
                      <w:rFonts w:ascii="Cambria" w:hAnsi="Cambria" w:cstheme="minorHAnsi"/>
                      <w:color w:val="000000" w:themeColor="text1"/>
                      <w:sz w:val="20"/>
                      <w:szCs w:val="20"/>
                    </w:rPr>
                    <w:t>Retención</w:t>
                  </w:r>
                  <w:r w:rsidRPr="003042D8">
                    <w:rPr>
                      <w:rFonts w:ascii="Cambria" w:hAnsi="Cambria" w:cstheme="minorHAnsi"/>
                      <w:color w:val="000000" w:themeColor="text1"/>
                      <w:sz w:val="20"/>
                      <w:szCs w:val="20"/>
                      <w:lang w:val="es-ES"/>
                    </w:rPr>
                    <w:t xml:space="preserve"> en la fuente</w:t>
                  </w:r>
                </w:p>
              </w:tc>
            </w:tr>
            <w:tr w:rsidR="00817718" w:rsidRPr="003042D8" w:rsidTr="00444E3F">
              <w:trPr>
                <w:trHeight w:val="226"/>
              </w:trPr>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Desde</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Hasta</w:t>
                  </w:r>
                </w:p>
              </w:tc>
              <w:tc>
                <w:tcPr>
                  <w:tcW w:w="1020" w:type="dxa"/>
                  <w:vMerge/>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p>
              </w:tc>
              <w:tc>
                <w:tcPr>
                  <w:tcW w:w="1147" w:type="dxa"/>
                  <w:vMerge/>
                </w:tcPr>
                <w:p w:rsidR="00817718" w:rsidRPr="003042D8" w:rsidRDefault="00817718" w:rsidP="00817718">
                  <w:pPr>
                    <w:jc w:val="center"/>
                    <w:rPr>
                      <w:rFonts w:ascii="Cambria" w:hAnsi="Cambria" w:cstheme="minorHAnsi"/>
                      <w:color w:val="000000" w:themeColor="text1"/>
                      <w:sz w:val="20"/>
                      <w:szCs w:val="20"/>
                      <w:lang w:eastAsia="es-CO"/>
                    </w:rPr>
                  </w:pPr>
                </w:p>
              </w:tc>
            </w:tr>
            <w:tr w:rsidR="00817718" w:rsidRPr="003042D8" w:rsidTr="00444E3F">
              <w:trPr>
                <w:trHeight w:val="226"/>
              </w:trPr>
              <w:tc>
                <w:tcPr>
                  <w:tcW w:w="1019"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&gt;0</w:t>
                  </w:r>
                </w:p>
              </w:tc>
              <w:tc>
                <w:tcPr>
                  <w:tcW w:w="1019"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95</w:t>
                  </w:r>
                </w:p>
              </w:tc>
              <w:tc>
                <w:tcPr>
                  <w:tcW w:w="1020"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0%</w:t>
                  </w:r>
                </w:p>
              </w:tc>
              <w:tc>
                <w:tcPr>
                  <w:tcW w:w="1147" w:type="dxa"/>
                  <w:vAlign w:val="center"/>
                </w:tcPr>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r w:rsidRPr="003042D8">
                    <w:rPr>
                      <w:rFonts w:ascii="Cambria" w:hAnsi="Cambria" w:cstheme="minorHAnsi"/>
                      <w:color w:val="000000" w:themeColor="text1"/>
                      <w:sz w:val="20"/>
                      <w:szCs w:val="20"/>
                    </w:rPr>
                    <w:t>0</w:t>
                  </w: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&gt;95</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150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19%</w:t>
                  </w:r>
                </w:p>
              </w:tc>
              <w:tc>
                <w:tcPr>
                  <w:tcW w:w="1147" w:type="dxa"/>
                  <w:vAlign w:val="center"/>
                </w:tcPr>
                <w:p w:rsidR="00817718" w:rsidRPr="003042D8" w:rsidRDefault="00817718" w:rsidP="00817718">
                  <w:pPr>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Ingreso laboral gravado</w:t>
                  </w:r>
                  <w:r w:rsidRPr="003042D8">
                    <w:rPr>
                      <w:rFonts w:ascii="Cambria" w:hAnsi="Cambria" w:cs="Arial"/>
                      <w:color w:val="000000" w:themeColor="text1"/>
                      <w:sz w:val="20"/>
                      <w:szCs w:val="20"/>
                    </w:rPr>
                    <w:t xml:space="preserve"> </w:t>
                  </w:r>
                  <w:r w:rsidRPr="003042D8">
                    <w:rPr>
                      <w:rFonts w:ascii="Cambria" w:hAnsi="Cambria" w:cs="Arial"/>
                      <w:color w:val="000000" w:themeColor="text1"/>
                      <w:sz w:val="20"/>
                      <w:szCs w:val="20"/>
                      <w:highlight w:val="yellow"/>
                    </w:rPr>
                    <w:t>expresado</w:t>
                  </w:r>
                  <w:r w:rsidRPr="003042D8">
                    <w:rPr>
                      <w:rFonts w:ascii="Cambria" w:hAnsi="Cambria" w:cs="Arial"/>
                      <w:color w:val="000000" w:themeColor="text1"/>
                      <w:sz w:val="20"/>
                      <w:szCs w:val="20"/>
                    </w:rPr>
                    <w:t xml:space="preserve"> en UVT menos 95 UVT) x 19%</w:t>
                  </w:r>
                </w:p>
                <w:p w:rsidR="00817718" w:rsidRPr="003042D8" w:rsidRDefault="00817718" w:rsidP="00817718">
                  <w:pPr>
                    <w:rPr>
                      <w:rFonts w:ascii="Cambria" w:hAnsi="Cambria" w:cstheme="minorHAnsi"/>
                      <w:color w:val="000000" w:themeColor="text1"/>
                      <w:sz w:val="20"/>
                      <w:szCs w:val="20"/>
                      <w:lang w:eastAsia="es-CO"/>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&gt;150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360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28%</w:t>
                  </w:r>
                </w:p>
              </w:tc>
              <w:tc>
                <w:tcPr>
                  <w:tcW w:w="1147" w:type="dxa"/>
                  <w:vAlign w:val="center"/>
                </w:tcPr>
                <w:p w:rsidR="00817718" w:rsidRPr="003042D8" w:rsidRDefault="00817718" w:rsidP="00817718">
                  <w:pPr>
                    <w:rPr>
                      <w:rFonts w:ascii="Cambria" w:hAnsi="Cambria" w:cs="Arial"/>
                      <w:color w:val="000000" w:themeColor="text1"/>
                      <w:sz w:val="20"/>
                      <w:szCs w:val="20"/>
                    </w:rPr>
                  </w:pPr>
                  <w:r w:rsidRPr="003042D8">
                    <w:rPr>
                      <w:rFonts w:ascii="Cambria" w:hAnsi="Cambria" w:cs="Arial"/>
                      <w:color w:val="000000" w:themeColor="text1"/>
                      <w:sz w:val="20"/>
                      <w:szCs w:val="20"/>
                      <w:highlight w:val="yellow"/>
                    </w:rPr>
                    <w:t>(Ingreso laboral gravado</w:t>
                  </w:r>
                  <w:r w:rsidRPr="003042D8">
                    <w:rPr>
                      <w:rFonts w:ascii="Cambria" w:hAnsi="Cambria" w:cs="Arial"/>
                      <w:color w:val="000000" w:themeColor="text1"/>
                      <w:sz w:val="20"/>
                      <w:szCs w:val="20"/>
                    </w:rPr>
                    <w:t xml:space="preserve"> </w:t>
                  </w:r>
                  <w:r w:rsidRPr="003042D8">
                    <w:rPr>
                      <w:rFonts w:ascii="Cambria" w:hAnsi="Cambria" w:cs="Arial"/>
                      <w:color w:val="000000" w:themeColor="text1"/>
                      <w:sz w:val="20"/>
                      <w:szCs w:val="20"/>
                      <w:highlight w:val="yellow"/>
                    </w:rPr>
                    <w:t>expresado</w:t>
                  </w:r>
                  <w:r w:rsidRPr="003042D8">
                    <w:rPr>
                      <w:rFonts w:ascii="Cambria" w:hAnsi="Cambria" w:cs="Arial"/>
                      <w:color w:val="000000" w:themeColor="text1"/>
                      <w:sz w:val="20"/>
                      <w:szCs w:val="20"/>
                    </w:rPr>
                    <w:t xml:space="preserve"> en UVT menos 150 UVT) </w:t>
                  </w:r>
                  <w:r w:rsidRPr="003042D8">
                    <w:rPr>
                      <w:rFonts w:ascii="Cambria" w:hAnsi="Cambria" w:cs="Arial"/>
                      <w:color w:val="000000" w:themeColor="text1"/>
                      <w:sz w:val="20"/>
                      <w:szCs w:val="20"/>
                    </w:rPr>
                    <w:lastRenderedPageBreak/>
                    <w:t xml:space="preserve">x </w:t>
                  </w:r>
                  <w:r w:rsidRPr="003042D8">
                    <w:rPr>
                      <w:rFonts w:ascii="Cambria" w:hAnsi="Cambria" w:cs="Arial"/>
                      <w:color w:val="000000" w:themeColor="text1"/>
                      <w:sz w:val="20"/>
                      <w:szCs w:val="20"/>
                      <w:highlight w:val="yellow"/>
                    </w:rPr>
                    <w:t>28%</w:t>
                  </w:r>
                  <w:r w:rsidRPr="003042D8">
                    <w:rPr>
                      <w:rFonts w:ascii="Cambria" w:hAnsi="Cambria" w:cs="Arial"/>
                      <w:color w:val="000000" w:themeColor="text1"/>
                      <w:sz w:val="20"/>
                      <w:szCs w:val="20"/>
                    </w:rPr>
                    <w:t xml:space="preserve"> más 10 UVT</w:t>
                  </w:r>
                </w:p>
                <w:p w:rsidR="00817718" w:rsidRPr="003042D8" w:rsidRDefault="00817718" w:rsidP="00817718">
                  <w:pPr>
                    <w:rPr>
                      <w:rFonts w:ascii="Cambria" w:hAnsi="Cambria" w:cstheme="minorHAnsi"/>
                      <w:color w:val="000000" w:themeColor="text1"/>
                      <w:sz w:val="20"/>
                      <w:szCs w:val="20"/>
                      <w:lang w:eastAsia="es-CO"/>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lastRenderedPageBreak/>
                    <w:t>&gt;360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640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33%</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highlight w:val="yellow"/>
                    </w:rPr>
                    <w:t>(Ingreso laboral gravado expresado</w:t>
                  </w:r>
                  <w:r w:rsidRPr="003042D8">
                    <w:rPr>
                      <w:rFonts w:ascii="Cambria" w:hAnsi="Cambria" w:cs="Arial"/>
                      <w:color w:val="000000" w:themeColor="text1"/>
                      <w:sz w:val="20"/>
                      <w:szCs w:val="20"/>
                    </w:rPr>
                    <w:t xml:space="preserve"> en UVT menos 360 UVT) x </w:t>
                  </w:r>
                  <w:r w:rsidRPr="003042D8">
                    <w:rPr>
                      <w:rFonts w:ascii="Cambria" w:hAnsi="Cambria" w:cs="Arial"/>
                      <w:color w:val="000000" w:themeColor="text1"/>
                      <w:sz w:val="20"/>
                      <w:szCs w:val="20"/>
                      <w:highlight w:val="yellow"/>
                    </w:rPr>
                    <w:t>33%</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69</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&gt;640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945</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35%</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Ingreso laboral gravado expresado</w:t>
                  </w:r>
                  <w:r w:rsidRPr="003042D8">
                    <w:rPr>
                      <w:rFonts w:ascii="Cambria" w:hAnsi="Cambria" w:cs="Arial"/>
                      <w:color w:val="000000" w:themeColor="text1"/>
                      <w:sz w:val="20"/>
                      <w:szCs w:val="20"/>
                    </w:rPr>
                    <w:t xml:space="preserve"> en UVT menos 640 UVT) x </w:t>
                  </w:r>
                  <w:r w:rsidRPr="003042D8">
                    <w:rPr>
                      <w:rFonts w:ascii="Cambria" w:hAnsi="Cambria" w:cs="Arial"/>
                      <w:color w:val="000000" w:themeColor="text1"/>
                      <w:sz w:val="20"/>
                      <w:szCs w:val="20"/>
                      <w:highlight w:val="yellow"/>
                    </w:rPr>
                    <w:t>35%</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162</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rPr>
                <w:trHeight w:val="2376"/>
              </w:trPr>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&gt;945</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2300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37%</w:t>
                  </w:r>
                </w:p>
              </w:tc>
              <w:tc>
                <w:tcPr>
                  <w:tcW w:w="1147" w:type="dxa"/>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Ingreso laboral gravado expresado</w:t>
                  </w:r>
                  <w:r w:rsidRPr="003042D8">
                    <w:rPr>
                      <w:rFonts w:ascii="Cambria" w:hAnsi="Cambria" w:cs="Arial"/>
                      <w:color w:val="000000" w:themeColor="text1"/>
                      <w:sz w:val="20"/>
                      <w:szCs w:val="20"/>
                    </w:rPr>
                    <w:t xml:space="preserve"> en UVT menos 945 UVT) x </w:t>
                  </w:r>
                  <w:r w:rsidRPr="003042D8">
                    <w:rPr>
                      <w:rFonts w:ascii="Cambria" w:hAnsi="Cambria" w:cs="Arial"/>
                      <w:color w:val="000000" w:themeColor="text1"/>
                      <w:sz w:val="20"/>
                      <w:szCs w:val="20"/>
                      <w:highlight w:val="yellow"/>
                    </w:rPr>
                    <w:t>37%</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268</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rPr>
                <w:trHeight w:val="194"/>
              </w:trPr>
              <w:tc>
                <w:tcPr>
                  <w:tcW w:w="1019" w:type="dxa"/>
                </w:tcPr>
                <w:p w:rsidR="00817718" w:rsidRPr="003042D8" w:rsidRDefault="00817718" w:rsidP="00817718">
                  <w:pPr>
                    <w:pStyle w:val="NormalWeb"/>
                    <w:spacing w:before="0" w:beforeAutospacing="0" w:after="0" w:afterAutospacing="0"/>
                    <w:jc w:val="center"/>
                    <w:rPr>
                      <w:rFonts w:ascii="Cambria" w:hAnsi="Cambria" w:cs="Arial"/>
                      <w:color w:val="000000" w:themeColor="text1"/>
                      <w:sz w:val="20"/>
                      <w:szCs w:val="20"/>
                    </w:rPr>
                  </w:pPr>
                  <w:r w:rsidRPr="003042D8">
                    <w:rPr>
                      <w:rFonts w:ascii="Cambria" w:hAnsi="Cambria" w:cs="Arial"/>
                      <w:color w:val="000000" w:themeColor="text1"/>
                      <w:sz w:val="20"/>
                      <w:szCs w:val="20"/>
                    </w:rPr>
                    <w:t>&gt;2300</w:t>
                  </w:r>
                </w:p>
              </w:tc>
              <w:tc>
                <w:tcPr>
                  <w:tcW w:w="1019" w:type="dxa"/>
                </w:tcPr>
                <w:p w:rsidR="00817718" w:rsidRPr="003042D8" w:rsidRDefault="00817718" w:rsidP="00817718">
                  <w:pPr>
                    <w:pStyle w:val="NormalWeb"/>
                    <w:spacing w:before="0" w:beforeAutospacing="0" w:after="0" w:afterAutospacing="0"/>
                    <w:jc w:val="center"/>
                    <w:rPr>
                      <w:rFonts w:ascii="Cambria" w:hAnsi="Cambria" w:cs="Arial"/>
                      <w:color w:val="000000" w:themeColor="text1"/>
                      <w:sz w:val="20"/>
                      <w:szCs w:val="20"/>
                    </w:rPr>
                  </w:pPr>
                  <w:r w:rsidRPr="003042D8">
                    <w:rPr>
                      <w:rFonts w:ascii="Cambria" w:hAnsi="Cambria" w:cs="Arial"/>
                      <w:color w:val="000000" w:themeColor="text1"/>
                      <w:sz w:val="20"/>
                      <w:szCs w:val="20"/>
                    </w:rPr>
                    <w:t>En adelante</w:t>
                  </w:r>
                </w:p>
              </w:tc>
              <w:tc>
                <w:tcPr>
                  <w:tcW w:w="1020" w:type="dxa"/>
                </w:tcPr>
                <w:p w:rsidR="00817718" w:rsidRPr="003042D8" w:rsidRDefault="00817718" w:rsidP="00817718">
                  <w:pPr>
                    <w:pStyle w:val="NormalWeb"/>
                    <w:spacing w:before="0" w:beforeAutospacing="0" w:after="0" w:afterAutospacing="0"/>
                    <w:jc w:val="center"/>
                    <w:rPr>
                      <w:rFonts w:ascii="Cambria" w:hAnsi="Cambria" w:cs="Arial"/>
                      <w:b/>
                      <w:bCs/>
                      <w:color w:val="000000" w:themeColor="text1"/>
                      <w:sz w:val="20"/>
                      <w:szCs w:val="20"/>
                      <w:u w:val="single"/>
                    </w:rPr>
                  </w:pPr>
                  <w:r w:rsidRPr="003042D8">
                    <w:rPr>
                      <w:rFonts w:ascii="Cambria" w:hAnsi="Cambria" w:cs="Arial"/>
                      <w:b/>
                      <w:bCs/>
                      <w:color w:val="000000" w:themeColor="text1"/>
                      <w:sz w:val="20"/>
                      <w:szCs w:val="20"/>
                      <w:highlight w:val="yellow"/>
                      <w:u w:val="single"/>
                    </w:rPr>
                    <w:t>39%</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Ingreso laboral gravado expresado</w:t>
                  </w:r>
                  <w:r w:rsidRPr="003042D8">
                    <w:rPr>
                      <w:rFonts w:ascii="Cambria" w:hAnsi="Cambria" w:cs="Arial"/>
                      <w:color w:val="000000" w:themeColor="text1"/>
                      <w:sz w:val="20"/>
                      <w:szCs w:val="20"/>
                    </w:rPr>
                    <w:t xml:space="preserve"> en UVT menos 2300 UVT) x </w:t>
                  </w:r>
                  <w:r w:rsidRPr="003042D8">
                    <w:rPr>
                      <w:rFonts w:ascii="Cambria" w:hAnsi="Cambria" w:cs="Arial"/>
                      <w:b/>
                      <w:bCs/>
                      <w:color w:val="000000" w:themeColor="text1"/>
                      <w:sz w:val="20"/>
                      <w:szCs w:val="20"/>
                      <w:highlight w:val="yellow"/>
                      <w:u w:val="single"/>
                    </w:rPr>
                    <w:t>39%</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770</w:t>
                  </w:r>
                  <w:r w:rsidRPr="003042D8">
                    <w:rPr>
                      <w:rFonts w:ascii="Cambria" w:hAnsi="Cambria" w:cs="Arial"/>
                      <w:color w:val="000000" w:themeColor="text1"/>
                      <w:sz w:val="20"/>
                      <w:szCs w:val="20"/>
                    </w:rPr>
                    <w:t xml:space="preserve"> UVT</w:t>
                  </w:r>
                </w:p>
              </w:tc>
            </w:tr>
          </w:tbl>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color w:val="000000" w:themeColor="text1"/>
                <w:sz w:val="20"/>
                <w:szCs w:val="20"/>
                <w:lang w:eastAsia="es-CO"/>
              </w:rPr>
              <w:t xml:space="preserve">PARÁGRAFO 1. </w:t>
            </w:r>
            <w:r w:rsidRPr="003042D8">
              <w:rPr>
                <w:rFonts w:ascii="Cambria" w:hAnsi="Cambria" w:cstheme="minorHAnsi"/>
                <w:b/>
                <w:bCs/>
                <w:color w:val="000000" w:themeColor="text1"/>
                <w:sz w:val="20"/>
                <w:szCs w:val="20"/>
                <w:highlight w:val="yellow"/>
                <w:u w:val="single"/>
                <w:lang w:eastAsia="es-CO"/>
              </w:rPr>
              <w:t xml:space="preserve">Para efectos de la aplicación del Procedimiento 2 a que se refiere el artículo 386 de este Estatuto, el valor del impuesto en UVT </w:t>
            </w:r>
            <w:r w:rsidRPr="003042D8">
              <w:rPr>
                <w:rFonts w:ascii="Cambria" w:hAnsi="Cambria" w:cstheme="minorHAnsi"/>
                <w:b/>
                <w:bCs/>
                <w:color w:val="000000" w:themeColor="text1"/>
                <w:sz w:val="20"/>
                <w:szCs w:val="20"/>
                <w:highlight w:val="yellow"/>
                <w:u w:val="single"/>
                <w:lang w:eastAsia="es-CO"/>
              </w:rPr>
              <w:lastRenderedPageBreak/>
              <w:t>determinado de conformidad con la tabla incluida en este artículo, se divide por el ingreso laboral total gravado convertido a UVT, con lo cual se obtiene la tarifa de retención aplicable al ingreso mensual.</w:t>
            </w:r>
          </w:p>
          <w:p w:rsidR="00817718" w:rsidRPr="003042D8" w:rsidRDefault="00817718" w:rsidP="00817718">
            <w:pPr>
              <w:jc w:val="both"/>
              <w:rPr>
                <w:rFonts w:ascii="Cambria" w:hAnsi="Cambria" w:cstheme="minorHAnsi"/>
                <w:color w:val="000000" w:themeColor="text1"/>
                <w:sz w:val="20"/>
                <w:szCs w:val="20"/>
                <w:lang w:eastAsia="es-CO"/>
              </w:rPr>
            </w:pPr>
          </w:p>
          <w:p w:rsidR="00817718" w:rsidRDefault="00817718" w:rsidP="00817718">
            <w:pPr>
              <w:jc w:val="both"/>
              <w:rPr>
                <w:rFonts w:ascii="Cambria" w:hAnsi="Cambria" w:cstheme="minorHAnsi"/>
                <w:color w:val="000000" w:themeColor="text1"/>
                <w:sz w:val="20"/>
                <w:szCs w:val="20"/>
                <w:lang w:eastAsia="es-CO"/>
              </w:rPr>
            </w:pPr>
          </w:p>
          <w:p w:rsidR="00FB60A2" w:rsidRPr="003042D8" w:rsidRDefault="00FB60A2"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PARÁGRAFO 2. La retención en la fuente establecida en el presente artículo será aplicable a los pagos o abonos en cuenta por concepto de rentas de trabajo que no provengan de una relación laboral o legal y reglamentaria. </w:t>
            </w:r>
          </w:p>
          <w:p w:rsidR="00817718" w:rsidRPr="003042D8" w:rsidRDefault="00817718" w:rsidP="00817718">
            <w:pPr>
              <w:pStyle w:val="Default"/>
              <w:jc w:val="both"/>
              <w:rPr>
                <w:rFonts w:ascii="Cambria" w:eastAsia="Times New Roman" w:hAnsi="Cambria" w:cstheme="minorHAnsi"/>
                <w:color w:val="000000" w:themeColor="text1"/>
                <w:sz w:val="20"/>
                <w:szCs w:val="20"/>
                <w:lang w:val="es-ES_tradnl"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 xml:space="preserve">La retención a la que se refiere este parágrafo se hará por "pagos mensualizados". Para ello se tomará el monto total del valor del contrato menos los respectivos aportes obligatorios a salud y pensiones, y se dividirá por el número de meses de vigencia del mismo. Ese valor mensual corresponde a la base de retención en la fuente que debe ubicarse en la tabla. En el caso en el cual los pagos correspondientes al contrato no sean efectuados mensualmente, el pagador deberá efectuar la retención en la fuente de acuerdo con el cálculo mencionado en este parágrafo, independientemente de la periodicidad pactada para los pagos del contrato; cuando realice el pago deberá retener el equivalente a la suma total de la retención mensualizada. </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 xml:space="preserve">PARÁGRAFO 3. Las personas naturales podrán solicitar la aplicación de una tarifa de retención en la fuente superior a la determinada de conformidad con el presente artículo, para la cual deberá indicarla por escrito al respectivo pagador. El incremento en la tarifa de retención en la fuente será aplicable a partir del mes siguiente a la presentación de la solicitud. </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PARÁGRAFO 4. La retención en la fuente de que trata el presente artículo no será aplicable a los pagos recibidos por concepto de pensiones de jubilación, invalidez, vejez, de sobrevivientes y sobre riesgos laborales que correspondan a rentas exentas, en los términos del artículo 206 de este Estatuto.</w:t>
            </w:r>
          </w:p>
          <w:p w:rsidR="00817718" w:rsidRPr="003042D8" w:rsidRDefault="00817718" w:rsidP="00817718">
            <w:pPr>
              <w:pStyle w:val="Default"/>
              <w:jc w:val="both"/>
              <w:rPr>
                <w:rFonts w:ascii="Cambria" w:eastAsia="Times New Roman" w:hAnsi="Cambria" w:cstheme="minorHAnsi"/>
                <w:color w:val="000000" w:themeColor="text1"/>
                <w:sz w:val="20"/>
                <w:szCs w:val="20"/>
                <w:lang w:val="es-ES_tradnl"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Parágrafo transitorio. La retención en la fuente de que trata el presente artículo se aplicará a partir del 1</w:t>
            </w:r>
            <w:r w:rsidRPr="003042D8">
              <w:rPr>
                <w:rFonts w:ascii="Cambria" w:hAnsi="Cambria" w:cstheme="minorHAnsi"/>
                <w:color w:val="000000" w:themeColor="text1"/>
                <w:sz w:val="20"/>
                <w:szCs w:val="20"/>
                <w:highlight w:val="yellow"/>
                <w:lang w:eastAsia="es-CO"/>
              </w:rPr>
              <w:t>° de marzo de 2017</w:t>
            </w:r>
            <w:r w:rsidRPr="003042D8">
              <w:rPr>
                <w:rFonts w:ascii="Cambria" w:hAnsi="Cambria" w:cstheme="minorHAnsi"/>
                <w:color w:val="000000" w:themeColor="text1"/>
                <w:sz w:val="20"/>
                <w:szCs w:val="20"/>
                <w:lang w:eastAsia="es-CO"/>
              </w:rPr>
              <w:t>; en el entre tanto se aplicará el sistema de retención aplicable antes de la entrada en vigencia de esta norma.</w:t>
            </w:r>
          </w:p>
          <w:p w:rsidR="00817718" w:rsidRPr="003042D8" w:rsidRDefault="00817718" w:rsidP="00817718">
            <w:pPr>
              <w:jc w:val="both"/>
              <w:rPr>
                <w:rFonts w:ascii="Cambria" w:hAnsi="Cambria" w:cs="Arial"/>
                <w:color w:val="000000" w:themeColor="text1"/>
                <w:sz w:val="20"/>
                <w:szCs w:val="20"/>
              </w:rPr>
            </w:pPr>
          </w:p>
        </w:tc>
        <w:tc>
          <w:tcPr>
            <w:tcW w:w="4865" w:type="dxa"/>
          </w:tcPr>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b/>
                <w:color w:val="000000" w:themeColor="text1"/>
                <w:sz w:val="20"/>
                <w:szCs w:val="20"/>
                <w:lang w:eastAsia="es-CO"/>
              </w:rPr>
              <w:lastRenderedPageBreak/>
              <w:t xml:space="preserve">Articulo 383. Tarifa </w:t>
            </w:r>
            <w:r w:rsidRPr="003042D8">
              <w:rPr>
                <w:rFonts w:ascii="Cambria" w:hAnsi="Cambria"/>
                <w:b/>
                <w:color w:val="FF0000"/>
                <w:sz w:val="20"/>
                <w:szCs w:val="20"/>
              </w:rPr>
              <w:t>(se modificaría con artículo 23 del proyecto de Ley</w:t>
            </w:r>
            <w:r w:rsidR="00FB60A2">
              <w:rPr>
                <w:rFonts w:ascii="Cambria" w:hAnsi="Cambria"/>
                <w:b/>
                <w:color w:val="FF0000"/>
                <w:sz w:val="20"/>
                <w:szCs w:val="20"/>
              </w:rPr>
              <w:t xml:space="preserve"> de septiembre de 2025</w:t>
            </w:r>
            <w:r w:rsidRPr="003042D8">
              <w:rPr>
                <w:rFonts w:ascii="Cambria" w:hAnsi="Cambria"/>
                <w:b/>
                <w:color w:val="FF0000"/>
                <w:sz w:val="20"/>
                <w:szCs w:val="20"/>
              </w:rPr>
              <w:t>)</w:t>
            </w:r>
            <w:r w:rsidRPr="003042D8">
              <w:rPr>
                <w:rFonts w:ascii="Cambria" w:hAnsi="Cambria"/>
                <w:b/>
                <w:color w:val="000000" w:themeColor="text1"/>
                <w:sz w:val="20"/>
                <w:szCs w:val="20"/>
              </w:rPr>
              <w:t xml:space="preserve"> </w:t>
            </w:r>
            <w:r w:rsidRPr="003042D8">
              <w:rPr>
                <w:rFonts w:ascii="Cambria" w:hAnsi="Cambria" w:cstheme="minorHAnsi"/>
                <w:color w:val="000000" w:themeColor="text1"/>
                <w:sz w:val="20"/>
                <w:szCs w:val="20"/>
                <w:lang w:eastAsia="es-CO"/>
              </w:rPr>
              <w:t xml:space="preserve">La retención en la fuente aplicable a los pagos gravables efectuados por las personas naturales </w:t>
            </w:r>
            <w:r w:rsidRPr="003042D8">
              <w:rPr>
                <w:rFonts w:ascii="Cambria" w:hAnsi="Cambria" w:cstheme="minorHAnsi"/>
                <w:b/>
                <w:bCs/>
                <w:color w:val="000000" w:themeColor="text1"/>
                <w:sz w:val="20"/>
                <w:szCs w:val="20"/>
                <w:highlight w:val="yellow"/>
                <w:u w:val="single"/>
                <w:lang w:eastAsia="es-CO"/>
              </w:rPr>
              <w:t>agentes de retención</w:t>
            </w:r>
            <w:r w:rsidRPr="003042D8">
              <w:rPr>
                <w:rFonts w:ascii="Cambria" w:hAnsi="Cambria" w:cstheme="minorHAnsi"/>
                <w:color w:val="000000" w:themeColor="text1"/>
                <w:sz w:val="20"/>
                <w:szCs w:val="20"/>
                <w:lang w:eastAsia="es-CO"/>
              </w:rPr>
              <w:t xml:space="preserve"> o  jurídicas, las sociedades de hecho, las comunidades organizadas y las sucesiones ilíquidas, originados en la relación laboral, o legal y reglamentaria, y los pagos recibidos por concepto de pensiones de jubilación, invalidez, vejez, de sobrevivientes y sobre riesgos laborales, será la que resulte de aplicar a dichos pagos la siguiente tabla de retención en la fuente: </w:t>
            </w:r>
          </w:p>
          <w:p w:rsidR="00817718" w:rsidRPr="003042D8" w:rsidRDefault="00817718" w:rsidP="00817718">
            <w:pPr>
              <w:rPr>
                <w:rFonts w:ascii="Cambria" w:hAnsi="Cambria" w:cstheme="minorHAnsi"/>
                <w:color w:val="000000" w:themeColor="text1"/>
                <w:sz w:val="20"/>
                <w:szCs w:val="20"/>
                <w:lang w:eastAsia="es-CO"/>
              </w:rPr>
            </w:pPr>
          </w:p>
          <w:p w:rsidR="00817718" w:rsidRPr="003042D8" w:rsidRDefault="00817718" w:rsidP="00817718">
            <w:pPr>
              <w:pStyle w:val="NormalWeb"/>
              <w:spacing w:before="0" w:beforeAutospacing="0" w:after="0" w:afterAutospacing="0"/>
              <w:jc w:val="both"/>
              <w:rPr>
                <w:rFonts w:ascii="Cambria" w:hAnsi="Cambria" w:cstheme="minorHAnsi"/>
                <w:color w:val="000000" w:themeColor="text1"/>
                <w:sz w:val="20"/>
                <w:szCs w:val="20"/>
              </w:rPr>
            </w:pPr>
          </w:p>
          <w:tbl>
            <w:tblPr>
              <w:tblStyle w:val="Tablaconcuadrcula"/>
              <w:tblW w:w="0" w:type="auto"/>
              <w:tblLook w:val="04A0" w:firstRow="1" w:lastRow="0" w:firstColumn="1" w:lastColumn="0" w:noHBand="0" w:noVBand="1"/>
            </w:tblPr>
            <w:tblGrid>
              <w:gridCol w:w="1019"/>
              <w:gridCol w:w="1019"/>
              <w:gridCol w:w="1020"/>
              <w:gridCol w:w="1147"/>
            </w:tblGrid>
            <w:tr w:rsidR="00817718" w:rsidRPr="003042D8" w:rsidTr="00444E3F">
              <w:tc>
                <w:tcPr>
                  <w:tcW w:w="2038" w:type="dxa"/>
                  <w:gridSpan w:val="2"/>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 xml:space="preserve">Rangos en UVT </w:t>
                  </w:r>
                </w:p>
              </w:tc>
              <w:tc>
                <w:tcPr>
                  <w:tcW w:w="1020" w:type="dxa"/>
                  <w:vMerge w:val="restart"/>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Tarifa marginal</w:t>
                  </w:r>
                </w:p>
              </w:tc>
              <w:tc>
                <w:tcPr>
                  <w:tcW w:w="1147" w:type="dxa"/>
                  <w:vMerge w:val="restart"/>
                  <w:vAlign w:val="center"/>
                </w:tcPr>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lang w:val="es-ES"/>
                    </w:rPr>
                  </w:pPr>
                  <w:r w:rsidRPr="003042D8">
                    <w:rPr>
                      <w:rFonts w:ascii="Cambria" w:hAnsi="Cambria" w:cstheme="minorHAnsi"/>
                      <w:color w:val="000000" w:themeColor="text1"/>
                      <w:sz w:val="20"/>
                      <w:szCs w:val="20"/>
                    </w:rPr>
                    <w:t>Retención</w:t>
                  </w:r>
                  <w:r w:rsidRPr="003042D8">
                    <w:rPr>
                      <w:rFonts w:ascii="Cambria" w:hAnsi="Cambria" w:cstheme="minorHAnsi"/>
                      <w:color w:val="000000" w:themeColor="text1"/>
                      <w:sz w:val="20"/>
                      <w:szCs w:val="20"/>
                      <w:lang w:val="es-ES"/>
                    </w:rPr>
                    <w:t xml:space="preserve"> en la fuente</w:t>
                  </w:r>
                </w:p>
              </w:tc>
            </w:tr>
            <w:tr w:rsidR="00817718" w:rsidRPr="003042D8" w:rsidTr="00444E3F">
              <w:trPr>
                <w:trHeight w:val="226"/>
              </w:trPr>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Desde</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Hasta</w:t>
                  </w:r>
                </w:p>
              </w:tc>
              <w:tc>
                <w:tcPr>
                  <w:tcW w:w="1020" w:type="dxa"/>
                  <w:vMerge/>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p>
              </w:tc>
              <w:tc>
                <w:tcPr>
                  <w:tcW w:w="1147" w:type="dxa"/>
                  <w:vMerge/>
                </w:tcPr>
                <w:p w:rsidR="00817718" w:rsidRPr="003042D8" w:rsidRDefault="00817718" w:rsidP="00817718">
                  <w:pPr>
                    <w:jc w:val="center"/>
                    <w:rPr>
                      <w:rFonts w:ascii="Cambria" w:hAnsi="Cambria" w:cstheme="minorHAnsi"/>
                      <w:color w:val="000000" w:themeColor="text1"/>
                      <w:sz w:val="20"/>
                      <w:szCs w:val="20"/>
                      <w:lang w:eastAsia="es-CO"/>
                    </w:rPr>
                  </w:pPr>
                </w:p>
              </w:tc>
            </w:tr>
            <w:tr w:rsidR="00817718" w:rsidRPr="003042D8" w:rsidTr="00444E3F">
              <w:trPr>
                <w:trHeight w:val="226"/>
              </w:trPr>
              <w:tc>
                <w:tcPr>
                  <w:tcW w:w="1019"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&gt;0</w:t>
                  </w:r>
                </w:p>
              </w:tc>
              <w:tc>
                <w:tcPr>
                  <w:tcW w:w="1019"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95</w:t>
                  </w:r>
                </w:p>
              </w:tc>
              <w:tc>
                <w:tcPr>
                  <w:tcW w:w="1020" w:type="dxa"/>
                  <w:vAlign w:val="center"/>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theme="minorHAnsi"/>
                      <w:color w:val="000000" w:themeColor="text1"/>
                      <w:sz w:val="20"/>
                      <w:szCs w:val="20"/>
                    </w:rPr>
                    <w:t>0%</w:t>
                  </w:r>
                </w:p>
              </w:tc>
              <w:tc>
                <w:tcPr>
                  <w:tcW w:w="1147" w:type="dxa"/>
                  <w:vAlign w:val="center"/>
                </w:tcPr>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r w:rsidRPr="003042D8">
                    <w:rPr>
                      <w:rFonts w:ascii="Cambria" w:hAnsi="Cambria" w:cstheme="minorHAnsi"/>
                      <w:color w:val="000000" w:themeColor="text1"/>
                      <w:sz w:val="20"/>
                      <w:szCs w:val="20"/>
                    </w:rPr>
                    <w:t>0</w:t>
                  </w: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&gt;95</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150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19%</w:t>
                  </w:r>
                </w:p>
              </w:tc>
              <w:tc>
                <w:tcPr>
                  <w:tcW w:w="1147" w:type="dxa"/>
                  <w:vAlign w:val="center"/>
                </w:tcPr>
                <w:p w:rsidR="00817718" w:rsidRPr="003042D8" w:rsidRDefault="00817718" w:rsidP="00817718">
                  <w:pPr>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95 UVT) x 19%</w:t>
                  </w:r>
                </w:p>
                <w:p w:rsidR="00817718" w:rsidRPr="003042D8" w:rsidRDefault="00817718" w:rsidP="00817718">
                  <w:pPr>
                    <w:rPr>
                      <w:rFonts w:ascii="Cambria" w:hAnsi="Cambria" w:cs="Arial"/>
                      <w:color w:val="000000" w:themeColor="text1"/>
                      <w:sz w:val="20"/>
                      <w:szCs w:val="20"/>
                    </w:rPr>
                  </w:pPr>
                </w:p>
                <w:p w:rsidR="00817718" w:rsidRPr="003042D8" w:rsidRDefault="00817718" w:rsidP="00817718">
                  <w:pPr>
                    <w:rPr>
                      <w:rFonts w:ascii="Cambria" w:hAnsi="Cambria" w:cs="Arial"/>
                      <w:color w:val="000000" w:themeColor="text1"/>
                      <w:sz w:val="20"/>
                      <w:szCs w:val="20"/>
                    </w:rPr>
                  </w:pPr>
                </w:p>
                <w:p w:rsidR="00817718" w:rsidRPr="003042D8" w:rsidRDefault="00817718" w:rsidP="00817718">
                  <w:pPr>
                    <w:rPr>
                      <w:rFonts w:ascii="Cambria" w:hAnsi="Cambria" w:cstheme="minorHAnsi"/>
                      <w:color w:val="000000" w:themeColor="text1"/>
                      <w:sz w:val="20"/>
                      <w:szCs w:val="20"/>
                      <w:lang w:eastAsia="es-CO"/>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&gt;150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360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29%</w:t>
                  </w:r>
                </w:p>
              </w:tc>
              <w:tc>
                <w:tcPr>
                  <w:tcW w:w="1147" w:type="dxa"/>
                  <w:vAlign w:val="center"/>
                </w:tcPr>
                <w:p w:rsidR="00817718" w:rsidRPr="003042D8" w:rsidRDefault="00817718" w:rsidP="00817718">
                  <w:pPr>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150 UVT) x </w:t>
                  </w:r>
                  <w:r w:rsidRPr="003042D8">
                    <w:rPr>
                      <w:rFonts w:ascii="Cambria" w:hAnsi="Cambria" w:cs="Arial"/>
                      <w:color w:val="000000" w:themeColor="text1"/>
                      <w:sz w:val="20"/>
                      <w:szCs w:val="20"/>
                      <w:highlight w:val="yellow"/>
                    </w:rPr>
                    <w:t>29</w:t>
                  </w:r>
                  <w:r w:rsidRPr="003042D8">
                    <w:rPr>
                      <w:rFonts w:ascii="Cambria" w:hAnsi="Cambria" w:cs="Arial"/>
                      <w:color w:val="000000" w:themeColor="text1"/>
                      <w:sz w:val="20"/>
                      <w:szCs w:val="20"/>
                    </w:rPr>
                    <w:t xml:space="preserve">% </w:t>
                  </w:r>
                  <w:r w:rsidRPr="003042D8">
                    <w:rPr>
                      <w:rFonts w:ascii="Cambria" w:hAnsi="Cambria" w:cs="Arial"/>
                      <w:color w:val="000000" w:themeColor="text1"/>
                      <w:sz w:val="20"/>
                      <w:szCs w:val="20"/>
                    </w:rPr>
                    <w:lastRenderedPageBreak/>
                    <w:t>más 10 UVT</w:t>
                  </w:r>
                </w:p>
                <w:p w:rsidR="00817718" w:rsidRPr="003042D8" w:rsidRDefault="00817718" w:rsidP="00817718">
                  <w:pPr>
                    <w:rPr>
                      <w:rFonts w:ascii="Cambria" w:hAnsi="Cambria" w:cs="Arial"/>
                      <w:color w:val="000000" w:themeColor="text1"/>
                      <w:sz w:val="20"/>
                      <w:szCs w:val="20"/>
                    </w:rPr>
                  </w:pPr>
                </w:p>
                <w:p w:rsidR="00817718" w:rsidRPr="003042D8" w:rsidRDefault="00817718" w:rsidP="00817718">
                  <w:pPr>
                    <w:rPr>
                      <w:rFonts w:ascii="Cambria" w:hAnsi="Cambria" w:cs="Arial"/>
                      <w:color w:val="000000" w:themeColor="text1"/>
                      <w:sz w:val="20"/>
                      <w:szCs w:val="20"/>
                    </w:rPr>
                  </w:pPr>
                </w:p>
                <w:p w:rsidR="00817718" w:rsidRPr="003042D8" w:rsidRDefault="00817718" w:rsidP="00817718">
                  <w:pPr>
                    <w:rPr>
                      <w:rFonts w:ascii="Cambria" w:hAnsi="Cambria" w:cstheme="minorHAnsi"/>
                      <w:color w:val="000000" w:themeColor="text1"/>
                      <w:sz w:val="20"/>
                      <w:szCs w:val="20"/>
                      <w:lang w:eastAsia="es-CO"/>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lastRenderedPageBreak/>
                    <w:t>&gt;360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640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35%</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360</w:t>
                  </w:r>
                  <w:r w:rsidRPr="003042D8">
                    <w:rPr>
                      <w:rFonts w:ascii="Cambria" w:hAnsi="Cambria" w:cs="Arial"/>
                      <w:b/>
                      <w:bCs/>
                      <w:color w:val="000000" w:themeColor="text1"/>
                      <w:sz w:val="20"/>
                      <w:szCs w:val="20"/>
                      <w:u w:val="single"/>
                    </w:rPr>
                    <w:t xml:space="preserve"> </w:t>
                  </w:r>
                  <w:r w:rsidRPr="003042D8">
                    <w:rPr>
                      <w:rFonts w:ascii="Cambria" w:hAnsi="Cambria" w:cs="Arial"/>
                      <w:color w:val="000000" w:themeColor="text1"/>
                      <w:sz w:val="20"/>
                      <w:szCs w:val="20"/>
                    </w:rPr>
                    <w:t xml:space="preserve">UVT) x </w:t>
                  </w:r>
                  <w:r w:rsidRPr="003042D8">
                    <w:rPr>
                      <w:rFonts w:ascii="Cambria" w:hAnsi="Cambria" w:cs="Arial"/>
                      <w:color w:val="000000" w:themeColor="text1"/>
                      <w:sz w:val="20"/>
                      <w:szCs w:val="20"/>
                      <w:highlight w:val="yellow"/>
                    </w:rPr>
                    <w:t>35%</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71</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&gt;640</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945</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37%</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640 UVT) x </w:t>
                  </w:r>
                  <w:r w:rsidRPr="003042D8">
                    <w:rPr>
                      <w:rFonts w:ascii="Cambria" w:hAnsi="Cambria" w:cs="Arial"/>
                      <w:color w:val="000000" w:themeColor="text1"/>
                      <w:sz w:val="20"/>
                      <w:szCs w:val="20"/>
                      <w:highlight w:val="yellow"/>
                    </w:rPr>
                    <w:t xml:space="preserve">37% </w:t>
                  </w:r>
                  <w:r w:rsidRPr="003042D8">
                    <w:rPr>
                      <w:rFonts w:ascii="Cambria" w:hAnsi="Cambria" w:cs="Arial"/>
                      <w:color w:val="000000" w:themeColor="text1"/>
                      <w:sz w:val="20"/>
                      <w:szCs w:val="20"/>
                    </w:rPr>
                    <w:t xml:space="preserve">más </w:t>
                  </w:r>
                  <w:r w:rsidRPr="003042D8">
                    <w:rPr>
                      <w:rFonts w:ascii="Cambria" w:hAnsi="Cambria" w:cs="Arial"/>
                      <w:color w:val="000000" w:themeColor="text1"/>
                      <w:sz w:val="20"/>
                      <w:szCs w:val="20"/>
                      <w:highlight w:val="yellow"/>
                    </w:rPr>
                    <w:t>170</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rPr>
                <w:trHeight w:val="2376"/>
              </w:trPr>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&gt;945</w:t>
                  </w:r>
                </w:p>
              </w:tc>
              <w:tc>
                <w:tcPr>
                  <w:tcW w:w="1019"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rPr>
                    <w:t>2300</w:t>
                  </w:r>
                </w:p>
              </w:tc>
              <w:tc>
                <w:tcPr>
                  <w:tcW w:w="1020" w:type="dxa"/>
                </w:tcPr>
                <w:p w:rsidR="00817718" w:rsidRPr="003042D8" w:rsidRDefault="00817718" w:rsidP="00817718">
                  <w:pPr>
                    <w:pStyle w:val="NormalWeb"/>
                    <w:spacing w:before="0" w:beforeAutospacing="0" w:after="0" w:afterAutospacing="0"/>
                    <w:jc w:val="center"/>
                    <w:rPr>
                      <w:rFonts w:ascii="Cambria" w:hAnsi="Cambria" w:cstheme="minorHAnsi"/>
                      <w:color w:val="000000" w:themeColor="text1"/>
                      <w:sz w:val="20"/>
                      <w:szCs w:val="20"/>
                    </w:rPr>
                  </w:pPr>
                  <w:r w:rsidRPr="003042D8">
                    <w:rPr>
                      <w:rFonts w:ascii="Cambria" w:hAnsi="Cambria" w:cs="Arial"/>
                      <w:color w:val="000000" w:themeColor="text1"/>
                      <w:sz w:val="20"/>
                      <w:szCs w:val="20"/>
                      <w:highlight w:val="yellow"/>
                    </w:rPr>
                    <w:t>39%</w:t>
                  </w:r>
                </w:p>
              </w:tc>
              <w:tc>
                <w:tcPr>
                  <w:tcW w:w="1147" w:type="dxa"/>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945 UVT) x </w:t>
                  </w:r>
                  <w:r w:rsidRPr="003042D8">
                    <w:rPr>
                      <w:rFonts w:ascii="Cambria" w:hAnsi="Cambria" w:cs="Arial"/>
                      <w:color w:val="000000" w:themeColor="text1"/>
                      <w:sz w:val="20"/>
                      <w:szCs w:val="20"/>
                      <w:highlight w:val="yellow"/>
                    </w:rPr>
                    <w:t>39</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282</w:t>
                  </w:r>
                  <w:r w:rsidRPr="003042D8">
                    <w:rPr>
                      <w:rFonts w:ascii="Cambria" w:hAnsi="Cambria" w:cs="Arial"/>
                      <w:color w:val="000000" w:themeColor="text1"/>
                      <w:sz w:val="20"/>
                      <w:szCs w:val="20"/>
                    </w:rPr>
                    <w:t xml:space="preserve"> UVT</w:t>
                  </w:r>
                </w:p>
                <w:p w:rsidR="00817718" w:rsidRPr="003042D8" w:rsidRDefault="00817718" w:rsidP="00817718">
                  <w:pPr>
                    <w:pStyle w:val="NormalWeb"/>
                    <w:spacing w:before="0" w:beforeAutospacing="0" w:after="0" w:afterAutospacing="0"/>
                    <w:rPr>
                      <w:rFonts w:ascii="Cambria" w:hAnsi="Cambria" w:cstheme="minorHAnsi"/>
                      <w:color w:val="000000" w:themeColor="text1"/>
                      <w:sz w:val="20"/>
                      <w:szCs w:val="20"/>
                    </w:rPr>
                  </w:pPr>
                </w:p>
              </w:tc>
            </w:tr>
            <w:tr w:rsidR="00817718" w:rsidRPr="003042D8" w:rsidTr="00444E3F">
              <w:trPr>
                <w:trHeight w:val="194"/>
              </w:trPr>
              <w:tc>
                <w:tcPr>
                  <w:tcW w:w="1019" w:type="dxa"/>
                </w:tcPr>
                <w:p w:rsidR="00817718" w:rsidRPr="003042D8" w:rsidRDefault="00817718" w:rsidP="00817718">
                  <w:pPr>
                    <w:pStyle w:val="NormalWeb"/>
                    <w:spacing w:before="0" w:beforeAutospacing="0" w:after="0" w:afterAutospacing="0"/>
                    <w:jc w:val="center"/>
                    <w:rPr>
                      <w:rFonts w:ascii="Cambria" w:hAnsi="Cambria" w:cs="Arial"/>
                      <w:color w:val="000000" w:themeColor="text1"/>
                      <w:sz w:val="20"/>
                      <w:szCs w:val="20"/>
                    </w:rPr>
                  </w:pPr>
                  <w:r w:rsidRPr="003042D8">
                    <w:rPr>
                      <w:rFonts w:ascii="Cambria" w:hAnsi="Cambria" w:cs="Arial"/>
                      <w:color w:val="000000" w:themeColor="text1"/>
                      <w:sz w:val="20"/>
                      <w:szCs w:val="20"/>
                    </w:rPr>
                    <w:t>&gt;2300</w:t>
                  </w:r>
                </w:p>
              </w:tc>
              <w:tc>
                <w:tcPr>
                  <w:tcW w:w="1019" w:type="dxa"/>
                </w:tcPr>
                <w:p w:rsidR="00817718" w:rsidRPr="003042D8" w:rsidRDefault="00817718" w:rsidP="00817718">
                  <w:pPr>
                    <w:pStyle w:val="NormalWeb"/>
                    <w:spacing w:before="0" w:beforeAutospacing="0" w:after="0" w:afterAutospacing="0"/>
                    <w:jc w:val="center"/>
                    <w:rPr>
                      <w:rFonts w:ascii="Cambria" w:hAnsi="Cambria" w:cs="Arial"/>
                      <w:color w:val="000000" w:themeColor="text1"/>
                      <w:sz w:val="20"/>
                      <w:szCs w:val="20"/>
                    </w:rPr>
                  </w:pPr>
                  <w:r w:rsidRPr="003042D8">
                    <w:rPr>
                      <w:rFonts w:ascii="Cambria" w:hAnsi="Cambria" w:cs="Arial"/>
                      <w:color w:val="000000" w:themeColor="text1"/>
                      <w:sz w:val="20"/>
                      <w:szCs w:val="20"/>
                    </w:rPr>
                    <w:t>En adelante</w:t>
                  </w:r>
                </w:p>
              </w:tc>
              <w:tc>
                <w:tcPr>
                  <w:tcW w:w="1020" w:type="dxa"/>
                </w:tcPr>
                <w:p w:rsidR="00817718" w:rsidRPr="003042D8" w:rsidRDefault="00817718" w:rsidP="00817718">
                  <w:pPr>
                    <w:pStyle w:val="NormalWeb"/>
                    <w:spacing w:before="0" w:beforeAutospacing="0" w:after="0" w:afterAutospacing="0"/>
                    <w:jc w:val="center"/>
                    <w:rPr>
                      <w:rFonts w:ascii="Cambria" w:hAnsi="Cambria" w:cs="Arial"/>
                      <w:b/>
                      <w:bCs/>
                      <w:color w:val="000000" w:themeColor="text1"/>
                      <w:sz w:val="20"/>
                      <w:szCs w:val="20"/>
                      <w:u w:val="single"/>
                    </w:rPr>
                  </w:pPr>
                  <w:r w:rsidRPr="003042D8">
                    <w:rPr>
                      <w:rFonts w:ascii="Cambria" w:hAnsi="Cambria" w:cs="Arial"/>
                      <w:b/>
                      <w:bCs/>
                      <w:color w:val="000000" w:themeColor="text1"/>
                      <w:sz w:val="20"/>
                      <w:szCs w:val="20"/>
                      <w:highlight w:val="yellow"/>
                      <w:u w:val="single"/>
                    </w:rPr>
                    <w:t>41%</w:t>
                  </w:r>
                </w:p>
              </w:tc>
              <w:tc>
                <w:tcPr>
                  <w:tcW w:w="1147" w:type="dxa"/>
                  <w:vAlign w:val="center"/>
                </w:tcPr>
                <w:p w:rsidR="00817718" w:rsidRPr="003042D8" w:rsidRDefault="00817718" w:rsidP="00817718">
                  <w:pPr>
                    <w:pStyle w:val="NormalWeb"/>
                    <w:spacing w:before="0" w:beforeAutospacing="0" w:after="0" w:afterAutospacing="0"/>
                    <w:rPr>
                      <w:rFonts w:ascii="Cambria" w:hAnsi="Cambria" w:cs="Arial"/>
                      <w:color w:val="000000" w:themeColor="text1"/>
                      <w:sz w:val="20"/>
                      <w:szCs w:val="20"/>
                    </w:rPr>
                  </w:pPr>
                  <w:r w:rsidRPr="003042D8">
                    <w:rPr>
                      <w:rFonts w:ascii="Cambria" w:hAnsi="Cambria" w:cs="Arial"/>
                      <w:color w:val="000000" w:themeColor="text1"/>
                      <w:sz w:val="20"/>
                      <w:szCs w:val="20"/>
                    </w:rPr>
                    <w:t>(</w:t>
                  </w:r>
                  <w:r w:rsidRPr="003042D8">
                    <w:rPr>
                      <w:rFonts w:ascii="Cambria" w:hAnsi="Cambria" w:cs="Arial"/>
                      <w:color w:val="000000" w:themeColor="text1"/>
                      <w:sz w:val="20"/>
                      <w:szCs w:val="20"/>
                      <w:highlight w:val="yellow"/>
                    </w:rPr>
                    <w:t>Base gravable</w:t>
                  </w:r>
                  <w:r w:rsidRPr="003042D8">
                    <w:rPr>
                      <w:rFonts w:ascii="Cambria" w:hAnsi="Cambria" w:cs="Arial"/>
                      <w:color w:val="000000" w:themeColor="text1"/>
                      <w:sz w:val="20"/>
                      <w:szCs w:val="20"/>
                    </w:rPr>
                    <w:t xml:space="preserve"> en UVT menos 2300 UVT) x </w:t>
                  </w:r>
                  <w:r w:rsidRPr="003042D8">
                    <w:rPr>
                      <w:rFonts w:ascii="Cambria" w:hAnsi="Cambria" w:cs="Arial"/>
                      <w:b/>
                      <w:bCs/>
                      <w:color w:val="000000" w:themeColor="text1"/>
                      <w:sz w:val="20"/>
                      <w:szCs w:val="20"/>
                      <w:highlight w:val="yellow"/>
                      <w:u w:val="single"/>
                    </w:rPr>
                    <w:t>41%</w:t>
                  </w:r>
                  <w:r w:rsidRPr="003042D8">
                    <w:rPr>
                      <w:rFonts w:ascii="Cambria" w:hAnsi="Cambria" w:cs="Arial"/>
                      <w:color w:val="000000" w:themeColor="text1"/>
                      <w:sz w:val="20"/>
                      <w:szCs w:val="20"/>
                    </w:rPr>
                    <w:t xml:space="preserve"> más </w:t>
                  </w:r>
                  <w:r w:rsidRPr="003042D8">
                    <w:rPr>
                      <w:rFonts w:ascii="Cambria" w:hAnsi="Cambria" w:cs="Arial"/>
                      <w:color w:val="000000" w:themeColor="text1"/>
                      <w:sz w:val="20"/>
                      <w:szCs w:val="20"/>
                      <w:highlight w:val="yellow"/>
                    </w:rPr>
                    <w:t>812</w:t>
                  </w:r>
                  <w:r w:rsidRPr="003042D8">
                    <w:rPr>
                      <w:rFonts w:ascii="Cambria" w:hAnsi="Cambria" w:cs="Arial"/>
                      <w:color w:val="000000" w:themeColor="text1"/>
                      <w:sz w:val="20"/>
                      <w:szCs w:val="20"/>
                    </w:rPr>
                    <w:t xml:space="preserve"> UVT</w:t>
                  </w:r>
                </w:p>
              </w:tc>
            </w:tr>
          </w:tbl>
          <w:p w:rsidR="00817718" w:rsidRPr="003042D8" w:rsidRDefault="00817718" w:rsidP="00817718">
            <w:pPr>
              <w:jc w:val="both"/>
              <w:rPr>
                <w:rFonts w:ascii="Cambria" w:hAnsi="Cambria" w:cstheme="minorHAnsi"/>
                <w:color w:val="000000" w:themeColor="text1"/>
                <w:sz w:val="20"/>
                <w:szCs w:val="20"/>
                <w:lang w:eastAsia="es-CO"/>
              </w:rPr>
            </w:pPr>
          </w:p>
          <w:p w:rsidR="00817718" w:rsidRDefault="00817718" w:rsidP="00817718">
            <w:pPr>
              <w:jc w:val="both"/>
              <w:rPr>
                <w:rFonts w:ascii="Cambria" w:hAnsi="Cambria" w:cstheme="minorHAnsi"/>
                <w:color w:val="000000" w:themeColor="text1"/>
                <w:sz w:val="20"/>
                <w:szCs w:val="20"/>
                <w:lang w:eastAsia="es-CO"/>
              </w:rPr>
            </w:pPr>
          </w:p>
          <w:p w:rsidR="0081771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pStyle w:val="Default"/>
              <w:jc w:val="both"/>
              <w:rPr>
                <w:rFonts w:ascii="Cambria" w:eastAsia="Times New Roman" w:hAnsi="Cambria" w:cstheme="minorHAnsi"/>
                <w:b/>
                <w:bCs/>
                <w:color w:val="000000" w:themeColor="text1"/>
                <w:kern w:val="2"/>
                <w:sz w:val="20"/>
                <w:szCs w:val="20"/>
                <w:u w:val="single"/>
                <w:lang w:eastAsia="es-CO"/>
              </w:rPr>
            </w:pPr>
            <w:r w:rsidRPr="003042D8">
              <w:rPr>
                <w:rFonts w:ascii="Cambria" w:eastAsia="Times New Roman" w:hAnsi="Cambria" w:cstheme="minorHAnsi"/>
                <w:color w:val="000000" w:themeColor="text1"/>
                <w:kern w:val="2"/>
                <w:sz w:val="20"/>
                <w:szCs w:val="20"/>
                <w:lang w:eastAsia="es-CO"/>
              </w:rPr>
              <w:t xml:space="preserve">PARÁGRAFO 1. La retención en la fuente establecida en este artículo se aplicará a los pagos o abonos por rentas </w:t>
            </w:r>
            <w:r w:rsidRPr="003042D8">
              <w:rPr>
                <w:rFonts w:ascii="Cambria" w:eastAsia="Times New Roman" w:hAnsi="Cambria" w:cstheme="minorHAnsi"/>
                <w:color w:val="000000" w:themeColor="text1"/>
                <w:kern w:val="2"/>
                <w:sz w:val="20"/>
                <w:szCs w:val="20"/>
                <w:lang w:eastAsia="es-CO"/>
              </w:rPr>
              <w:lastRenderedPageBreak/>
              <w:t xml:space="preserve">de trabajo que no provengan de una relación laboral o legal y reglamentaria, </w:t>
            </w:r>
            <w:r w:rsidRPr="003042D8">
              <w:rPr>
                <w:rFonts w:ascii="Cambria" w:eastAsia="Times New Roman" w:hAnsi="Cambria" w:cstheme="minorHAnsi"/>
                <w:b/>
                <w:bCs/>
                <w:color w:val="000000" w:themeColor="text1"/>
                <w:kern w:val="2"/>
                <w:sz w:val="20"/>
                <w:szCs w:val="20"/>
                <w:highlight w:val="yellow"/>
                <w:u w:val="single"/>
                <w:lang w:eastAsia="es-CO"/>
              </w:rPr>
              <w:t>cuando no opte por tomarse costos y gastos. De tomarse costos y gastos, la retención aplicable será la prevista por pagos por honorarios, servicios y comisiones prevista en el artículo 392 del mismo estatuto.</w:t>
            </w:r>
            <w:r w:rsidRPr="003042D8">
              <w:rPr>
                <w:rFonts w:ascii="Cambria" w:eastAsia="Times New Roman" w:hAnsi="Cambria" w:cstheme="minorHAnsi"/>
                <w:b/>
                <w:bCs/>
                <w:color w:val="000000" w:themeColor="text1"/>
                <w:kern w:val="2"/>
                <w:sz w:val="20"/>
                <w:szCs w:val="20"/>
                <w:u w:val="single"/>
                <w:lang w:eastAsia="es-CO"/>
              </w:rPr>
              <w:t xml:space="preserve"> </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 xml:space="preserve">La retención a la que se refiere este parágrafo se hará por "pagos mensualizados". Para ello se tomará el monto total del valor del contrato menos los respectivos aportes obligatorios a salud y pensiones, y se dividirá por el número de meses de vigencia del mismo. Ese valor mensual corresponde a la base de retención en la fuente que debe ubicarse en la tabla. En el caso en el cual los pagos correspondientes al contrato no sean efectuados mensualmente, el pagador deberá efectuar la retención en la fuente de acuerdo con el cálculo mencionado en este parágrafo, independientemente de la periodicidad pactada para los pagos del contrato; cuando realice el pago deberá retener el equivalente a la suma total de la retención mensualizada. </w:t>
            </w:r>
          </w:p>
          <w:p w:rsidR="00817718" w:rsidRPr="003042D8" w:rsidRDefault="00817718" w:rsidP="00817718">
            <w:pPr>
              <w:pStyle w:val="Default"/>
              <w:jc w:val="both"/>
              <w:rPr>
                <w:rFonts w:ascii="Cambria" w:eastAsia="Times New Roman" w:hAnsi="Cambria" w:cstheme="minorHAnsi"/>
                <w:color w:val="000000" w:themeColor="text1"/>
                <w:sz w:val="20"/>
                <w:szCs w:val="20"/>
                <w:lang w:val="es-ES"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color w:val="000000" w:themeColor="text1"/>
                <w:sz w:val="20"/>
                <w:szCs w:val="20"/>
                <w:lang w:eastAsia="es-CO"/>
              </w:rPr>
              <w:t xml:space="preserve">PARÁGRAFO 2. Las personas naturales podrán solicitar la aplicación de una tarifa de retención en la fuente superior a la determinada de conformidad con el presente artículo, para la cual deberá indicarla por escrito al respectivo pagador. El incremento en la tarifa de retención en la fuente será aplicable a partir del mes siguiente a la presentación de la solicitud. </w:t>
            </w:r>
            <w:r w:rsidRPr="003042D8">
              <w:rPr>
                <w:rFonts w:ascii="Cambria" w:hAnsi="Cambria" w:cstheme="minorHAnsi"/>
                <w:b/>
                <w:bCs/>
                <w:color w:val="000000" w:themeColor="text1"/>
                <w:sz w:val="20"/>
                <w:szCs w:val="20"/>
                <w:highlight w:val="yellow"/>
                <w:u w:val="single"/>
                <w:lang w:eastAsia="es-CO"/>
              </w:rPr>
              <w:t>El gobierno podrá reglamentar una  retención diferente</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PARÁGRAFO 3. La retención en la fuente de que trata el presente artículo no será aplicable a los pagos recibidos por concepto de pensiones de jubilación, invalidez, vejez, de sobrevivientes y sobre riesgos laborales que correspondan a rentas exentas, en los términos del artículo 206 de este Estatuto.</w:t>
            </w:r>
          </w:p>
          <w:p w:rsidR="00817718" w:rsidRPr="003042D8" w:rsidRDefault="00817718" w:rsidP="00817718">
            <w:pPr>
              <w:pStyle w:val="Default"/>
              <w:jc w:val="both"/>
              <w:rPr>
                <w:rFonts w:ascii="Cambria" w:eastAsia="Times New Roman"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b/>
                <w:bCs/>
                <w:color w:val="000000" w:themeColor="text1"/>
                <w:sz w:val="20"/>
                <w:szCs w:val="20"/>
                <w:highlight w:val="yellow"/>
                <w:u w:val="single"/>
                <w:lang w:eastAsia="es-CO"/>
              </w:rPr>
              <w:t>PARÁGRAFO 4. Cuando más del 80% de los ingresos del trabajador corresponda a rentas de trabajo, y la declaración de renta le genere saldo a favor producto de las retenciones en la fuente practicadas, la DIAN le realizará la devolución automática y de oficio del saldo a favor dentro de los noventa (90) días, sobre aquellos contribuyentes que declararon oportunamente, de conformidad con el procedimiento previsto en el inciso 2 del artículo 851 del Estatuto Tributario. El término se comienza a contar a partir del día siguiente a la última fecha del vencimiento del calendario para declarar el impuesto sobre la renta de personas naturales.</w:t>
            </w:r>
            <w:r w:rsidRPr="003042D8">
              <w:rPr>
                <w:rFonts w:ascii="Cambria" w:hAnsi="Cambria" w:cstheme="minorHAnsi"/>
                <w:b/>
                <w:bCs/>
                <w:color w:val="000000" w:themeColor="text1"/>
                <w:sz w:val="20"/>
                <w:szCs w:val="20"/>
                <w:u w:val="single"/>
                <w:lang w:eastAsia="es-CO"/>
              </w:rPr>
              <w:t xml:space="preserve"> </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color w:val="000000" w:themeColor="text1"/>
                <w:sz w:val="20"/>
                <w:szCs w:val="20"/>
                <w:lang w:eastAsia="es-CO"/>
              </w:rPr>
              <w:lastRenderedPageBreak/>
              <w:t xml:space="preserve">PARÁGRAFO TRANSITORIO. La retención en la fuente de que trata el presente artículo se aplicará a partir del 1 de </w:t>
            </w:r>
            <w:r w:rsidRPr="003042D8">
              <w:rPr>
                <w:rFonts w:ascii="Cambria" w:hAnsi="Cambria" w:cstheme="minorHAnsi"/>
                <w:b/>
                <w:bCs/>
                <w:color w:val="000000" w:themeColor="text1"/>
                <w:sz w:val="20"/>
                <w:szCs w:val="20"/>
                <w:highlight w:val="yellow"/>
                <w:u w:val="single"/>
                <w:lang w:eastAsia="es-CO"/>
              </w:rPr>
              <w:t xml:space="preserve"> julio de 2026</w:t>
            </w:r>
            <w:r w:rsidRPr="003042D8">
              <w:rPr>
                <w:rFonts w:ascii="Cambria" w:hAnsi="Cambria" w:cstheme="minorHAnsi"/>
                <w:color w:val="000000" w:themeColor="text1"/>
                <w:sz w:val="20"/>
                <w:szCs w:val="20"/>
                <w:lang w:eastAsia="es-CO"/>
              </w:rPr>
              <w:t xml:space="preserve">; en el entre tanto se aplicará el sistema de retención aplicable antes de la entrada en vigencia de esta </w:t>
            </w:r>
            <w:r w:rsidRPr="003042D8">
              <w:rPr>
                <w:rFonts w:ascii="Cambria" w:hAnsi="Cambria" w:cstheme="minorHAnsi"/>
                <w:b/>
                <w:bCs/>
                <w:color w:val="000000" w:themeColor="text1"/>
                <w:sz w:val="20"/>
                <w:szCs w:val="20"/>
                <w:highlight w:val="yellow"/>
                <w:u w:val="single"/>
                <w:lang w:eastAsia="es-CO"/>
              </w:rPr>
              <w:t>norma o si el trabajador solicita la aplicación anticipada el agente retenedor aplicará esta nueva disposición.</w:t>
            </w:r>
            <w:r w:rsidRPr="003042D8">
              <w:rPr>
                <w:rFonts w:ascii="Cambria" w:hAnsi="Cambria" w:cstheme="minorHAnsi"/>
                <w:b/>
                <w:bCs/>
                <w:color w:val="000000" w:themeColor="text1"/>
                <w:sz w:val="20"/>
                <w:szCs w:val="20"/>
                <w:u w:val="single"/>
                <w:lang w:eastAsia="es-CO"/>
              </w:rPr>
              <w:t xml:space="preserve">  </w:t>
            </w:r>
          </w:p>
          <w:p w:rsidR="00817718" w:rsidRPr="003042D8" w:rsidRDefault="00817718" w:rsidP="00817718">
            <w:pPr>
              <w:pStyle w:val="Default"/>
              <w:jc w:val="both"/>
              <w:rPr>
                <w:rFonts w:ascii="Cambria" w:eastAsia="Times New Roman" w:hAnsi="Cambria" w:cstheme="minorHAnsi"/>
                <w:color w:val="000000" w:themeColor="text1"/>
                <w:sz w:val="20"/>
                <w:szCs w:val="20"/>
                <w:lang w:val="es-ES_tradnl" w:eastAsia="es-CO"/>
              </w:rPr>
            </w:pPr>
          </w:p>
          <w:p w:rsidR="00817718" w:rsidRPr="003042D8" w:rsidRDefault="00817718" w:rsidP="00817718">
            <w:pPr>
              <w:jc w:val="both"/>
              <w:rPr>
                <w:rFonts w:ascii="Cambria" w:hAnsi="Cambria" w:cs="Arial"/>
                <w:color w:val="000000" w:themeColor="text1"/>
                <w:sz w:val="20"/>
                <w:szCs w:val="20"/>
              </w:rPr>
            </w:pPr>
          </w:p>
        </w:tc>
      </w:tr>
      <w:tr w:rsidR="00817718" w:rsidTr="0059378C">
        <w:tc>
          <w:tcPr>
            <w:tcW w:w="4958" w:type="dxa"/>
          </w:tcPr>
          <w:p w:rsidR="00817718" w:rsidRPr="003042D8" w:rsidRDefault="00817718" w:rsidP="00817718">
            <w:pPr>
              <w:jc w:val="both"/>
              <w:rPr>
                <w:rFonts w:ascii="Cambria" w:hAnsi="Cambria" w:cstheme="minorHAnsi"/>
                <w:b/>
                <w:bCs/>
                <w:color w:val="000000" w:themeColor="text1"/>
                <w:sz w:val="20"/>
                <w:szCs w:val="20"/>
                <w:u w:val="single"/>
                <w:lang w:eastAsia="es-CO"/>
              </w:rPr>
            </w:pPr>
            <w:bookmarkStart w:id="18" w:name="385"/>
            <w:r w:rsidRPr="003042D8">
              <w:rPr>
                <w:rFonts w:ascii="Cambria" w:hAnsi="Cambria" w:cstheme="minorHAnsi"/>
                <w:b/>
                <w:bCs/>
                <w:color w:val="000000" w:themeColor="text1"/>
                <w:sz w:val="20"/>
                <w:szCs w:val="20"/>
                <w:lang w:eastAsia="es-CO"/>
              </w:rPr>
              <w:lastRenderedPageBreak/>
              <w:t>“Articulo 385.</w:t>
            </w:r>
            <w:r w:rsidRPr="003042D8">
              <w:rPr>
                <w:rFonts w:ascii="Cambria" w:hAnsi="Cambria" w:cstheme="minorHAnsi"/>
                <w:color w:val="000000" w:themeColor="text1"/>
                <w:sz w:val="20"/>
                <w:szCs w:val="20"/>
                <w:lang w:eastAsia="es-CO"/>
              </w:rPr>
              <w:t xml:space="preserve"> </w:t>
            </w:r>
            <w:r w:rsidRPr="003042D8">
              <w:rPr>
                <w:rFonts w:ascii="Cambria" w:hAnsi="Cambria" w:cstheme="minorHAnsi"/>
                <w:b/>
                <w:bCs/>
                <w:color w:val="000000" w:themeColor="text1"/>
                <w:sz w:val="20"/>
                <w:szCs w:val="20"/>
                <w:highlight w:val="yellow"/>
                <w:u w:val="single"/>
                <w:lang w:eastAsia="es-CO"/>
              </w:rPr>
              <w:t>Primera opción frente a la retención</w:t>
            </w:r>
            <w:r w:rsidRPr="003042D8">
              <w:rPr>
                <w:rFonts w:ascii="Cambria" w:hAnsi="Cambria" w:cstheme="minorHAnsi"/>
                <w:color w:val="000000" w:themeColor="text1"/>
                <w:sz w:val="20"/>
                <w:szCs w:val="20"/>
                <w:lang w:eastAsia="es-CO"/>
              </w:rPr>
              <w:t>.</w:t>
            </w:r>
            <w:bookmarkEnd w:id="18"/>
            <w:r w:rsidRPr="003042D8">
              <w:rPr>
                <w:rFonts w:ascii="Cambria" w:hAnsi="Cambria" w:cstheme="minorHAnsi"/>
                <w:color w:val="000000" w:themeColor="text1"/>
                <w:sz w:val="20"/>
                <w:szCs w:val="20"/>
                <w:lang w:eastAsia="es-CO"/>
              </w:rPr>
              <w:t>  Para efectos de la retención en la fuente, el retenedor deberá aplicar el procedimiento establecido en este artículo</w:t>
            </w:r>
            <w:r w:rsidRPr="003042D8">
              <w:rPr>
                <w:rFonts w:ascii="Cambria" w:hAnsi="Cambria" w:cstheme="minorHAnsi"/>
                <w:b/>
                <w:bCs/>
                <w:color w:val="000000" w:themeColor="text1"/>
                <w:sz w:val="20"/>
                <w:szCs w:val="20"/>
                <w:highlight w:val="yellow"/>
                <w:u w:val="single"/>
                <w:lang w:eastAsia="es-CO"/>
              </w:rPr>
              <w:t>, o en el artículo siguiente:</w:t>
            </w:r>
          </w:p>
          <w:p w:rsidR="00817718" w:rsidRPr="003042D8" w:rsidRDefault="00817718" w:rsidP="00817718">
            <w:pPr>
              <w:jc w:val="both"/>
              <w:rPr>
                <w:rFonts w:ascii="Cambria" w:hAnsi="Cambria" w:cstheme="minorHAnsi"/>
                <w:b/>
                <w:bCs/>
                <w:color w:val="000000" w:themeColor="text1"/>
                <w:sz w:val="20"/>
                <w:szCs w:val="20"/>
                <w:u w:val="single"/>
                <w:lang w:eastAsia="es-CO"/>
              </w:rPr>
            </w:pPr>
          </w:p>
          <w:p w:rsidR="00817718" w:rsidRDefault="00817718" w:rsidP="00817718">
            <w:pPr>
              <w:jc w:val="both"/>
              <w:rPr>
                <w:rFonts w:ascii="Cambria" w:hAnsi="Cambria" w:cstheme="minorHAnsi"/>
                <w:b/>
                <w:bCs/>
                <w:color w:val="000000" w:themeColor="text1"/>
                <w:sz w:val="20"/>
                <w:szCs w:val="20"/>
                <w:u w:val="single"/>
                <w:lang w:eastAsia="es-CO"/>
              </w:rPr>
            </w:pPr>
          </w:p>
          <w:p w:rsidR="00FB60A2" w:rsidRPr="003042D8" w:rsidRDefault="00FB60A2" w:rsidP="00817718">
            <w:pPr>
              <w:jc w:val="both"/>
              <w:rPr>
                <w:rFonts w:ascii="Cambria" w:hAnsi="Cambria" w:cstheme="minorHAnsi"/>
                <w:b/>
                <w:bCs/>
                <w:color w:val="000000" w:themeColor="text1"/>
                <w:sz w:val="20"/>
                <w:szCs w:val="20"/>
                <w:u w:val="single"/>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b/>
                <w:bCs/>
                <w:color w:val="000000" w:themeColor="text1"/>
                <w:sz w:val="20"/>
                <w:szCs w:val="20"/>
                <w:highlight w:val="yellow"/>
                <w:u w:val="single"/>
                <w:lang w:eastAsia="es-CO"/>
              </w:rPr>
              <w:t>Procedimiento 1.</w:t>
            </w:r>
            <w:r w:rsidRPr="003042D8">
              <w:rPr>
                <w:rFonts w:ascii="Cambria" w:hAnsi="Cambria" w:cstheme="minorHAnsi"/>
                <w:b/>
                <w:bCs/>
                <w:color w:val="000000" w:themeColor="text1"/>
                <w:sz w:val="20"/>
                <w:szCs w:val="20"/>
                <w:u w:val="single"/>
                <w:lang w:eastAsia="es-CO"/>
              </w:rPr>
              <w:t xml:space="preserve"> </w:t>
            </w:r>
            <w:r w:rsidRPr="003042D8">
              <w:rPr>
                <w:rFonts w:ascii="Cambria" w:hAnsi="Cambria" w:cstheme="minorHAnsi"/>
                <w:color w:val="000000" w:themeColor="text1"/>
                <w:sz w:val="20"/>
                <w:szCs w:val="20"/>
                <w:lang w:eastAsia="es-CO"/>
              </w:rPr>
              <w:t>Con relación a los pagos  gravables diferentes de la cesantía, los intereses sobre cesantía, y la prima mínima legal de servicios del sector privado o de navidad del sector público, el "valor a retener" mensualmente es el indicado frente al intervalo de la tabla al cual correspondan la totalidad de dichos pagos  que se hagan al trabajador, directa o indirectamente, durante el respectivo mes. Si tales pagos  se realizan por períodos inferiores a treinta (30) días, su retención podrá calcularse así:</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roofErr w:type="spellStart"/>
            <w:r w:rsidRPr="003042D8">
              <w:rPr>
                <w:rFonts w:ascii="Cambria" w:hAnsi="Cambria" w:cstheme="minorHAnsi"/>
                <w:color w:val="000000" w:themeColor="text1"/>
                <w:sz w:val="20"/>
                <w:szCs w:val="20"/>
                <w:lang w:eastAsia="es-CO"/>
              </w:rPr>
              <w:t>a.El</w:t>
            </w:r>
            <w:proofErr w:type="spellEnd"/>
            <w:r w:rsidRPr="003042D8">
              <w:rPr>
                <w:rFonts w:ascii="Cambria" w:hAnsi="Cambria" w:cstheme="minorHAnsi"/>
                <w:color w:val="000000" w:themeColor="text1"/>
                <w:sz w:val="20"/>
                <w:szCs w:val="20"/>
                <w:lang w:eastAsia="es-CO"/>
              </w:rPr>
              <w:t xml:space="preserve"> valor total de los pagos gravables, recibidos directa o indirectamente por el trabajador en el respectivo período, se divide por el número de días a que correspondan tales pagos  y su resultado se multiplica por 30;</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b. Se determina el porcentaje de retención que figure en la tabla frente al valor obtenido de acuerdo con lo previsto en el literal anterior y dicho porcentaje se aplica a la totalidad de los pagos  gravables recibidos directa o indirectamente por el trabajador en el respectivo período. La cifra resultante será el "valor a retener".</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color w:val="000000" w:themeColor="text1"/>
                <w:sz w:val="20"/>
                <w:szCs w:val="20"/>
                <w:lang w:eastAsia="es-CO"/>
              </w:rPr>
              <w:t xml:space="preserve">Cuando se trate de la prima mínima legal de servicios del sector privado, o de navidad del sector público, el "valor a retener" es el que figure frente al intervalo al cual corresponda </w:t>
            </w:r>
            <w:r w:rsidRPr="003042D8">
              <w:rPr>
                <w:rFonts w:ascii="Cambria" w:hAnsi="Cambria" w:cstheme="minorHAnsi"/>
                <w:b/>
                <w:bCs/>
                <w:color w:val="000000" w:themeColor="text1"/>
                <w:sz w:val="20"/>
                <w:szCs w:val="20"/>
                <w:highlight w:val="yellow"/>
                <w:u w:val="single"/>
                <w:lang w:eastAsia="es-CO"/>
              </w:rPr>
              <w:t>la respectiva prima.”</w:t>
            </w:r>
          </w:p>
          <w:p w:rsidR="00817718" w:rsidRPr="003042D8" w:rsidRDefault="00817718" w:rsidP="00817718">
            <w:pPr>
              <w:jc w:val="both"/>
              <w:rPr>
                <w:rFonts w:ascii="Cambria" w:hAnsi="Cambria" w:cstheme="minorHAnsi"/>
                <w:color w:val="000000" w:themeColor="text1"/>
                <w:sz w:val="20"/>
                <w:szCs w:val="20"/>
                <w:lang w:eastAsia="es-CO"/>
              </w:rPr>
            </w:pPr>
          </w:p>
        </w:tc>
        <w:tc>
          <w:tcPr>
            <w:tcW w:w="4865" w:type="dxa"/>
          </w:tcPr>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b/>
                <w:bCs/>
                <w:color w:val="000000" w:themeColor="text1"/>
                <w:sz w:val="20"/>
                <w:szCs w:val="20"/>
                <w:lang w:eastAsia="es-CO"/>
              </w:rPr>
              <w:t>“Articulo 385.</w:t>
            </w:r>
            <w:r w:rsidRPr="003042D8">
              <w:rPr>
                <w:rFonts w:ascii="Cambria" w:hAnsi="Cambria" w:cstheme="minorHAnsi"/>
                <w:color w:val="000000" w:themeColor="text1"/>
                <w:sz w:val="20"/>
                <w:szCs w:val="20"/>
                <w:lang w:eastAsia="es-CO"/>
              </w:rPr>
              <w:t xml:space="preserve"> </w:t>
            </w:r>
            <w:r w:rsidRPr="003042D8">
              <w:rPr>
                <w:rFonts w:ascii="Cambria" w:hAnsi="Cambria" w:cstheme="minorHAnsi"/>
                <w:b/>
                <w:bCs/>
                <w:color w:val="000000" w:themeColor="text1"/>
                <w:sz w:val="20"/>
                <w:szCs w:val="20"/>
                <w:highlight w:val="yellow"/>
                <w:u w:val="single"/>
                <w:lang w:eastAsia="es-CO"/>
              </w:rPr>
              <w:t>Procedimiento para determinar la base de retención.</w:t>
            </w:r>
            <w:r w:rsidRPr="003042D8">
              <w:rPr>
                <w:rFonts w:ascii="Cambria" w:hAnsi="Cambria" w:cstheme="minorHAnsi"/>
                <w:color w:val="000000" w:themeColor="text1"/>
                <w:sz w:val="20"/>
                <w:szCs w:val="20"/>
                <w:u w:val="single"/>
                <w:lang w:eastAsia="es-CO"/>
              </w:rPr>
              <w:t> </w:t>
            </w:r>
            <w:r w:rsidRPr="003042D8">
              <w:rPr>
                <w:rFonts w:ascii="Cambria" w:hAnsi="Cambria" w:cstheme="minorHAnsi"/>
                <w:color w:val="000000" w:themeColor="text1"/>
                <w:sz w:val="20"/>
                <w:szCs w:val="20"/>
                <w:lang w:eastAsia="es-CO"/>
              </w:rPr>
              <w:t xml:space="preserve"> </w:t>
            </w:r>
            <w:r w:rsidRPr="003042D8">
              <w:rPr>
                <w:rFonts w:ascii="Cambria" w:hAnsi="Cambria" w:cstheme="minorHAnsi"/>
                <w:b/>
                <w:color w:val="FF0000"/>
                <w:sz w:val="20"/>
                <w:szCs w:val="20"/>
                <w:lang w:eastAsia="es-CO"/>
              </w:rPr>
              <w:t>(se modificaría con el artículo 24 del proyecto de Ley</w:t>
            </w:r>
            <w:r w:rsidR="00FB60A2">
              <w:rPr>
                <w:rFonts w:ascii="Cambria" w:hAnsi="Cambria" w:cstheme="minorHAnsi"/>
                <w:b/>
                <w:color w:val="FF0000"/>
                <w:sz w:val="20"/>
                <w:szCs w:val="20"/>
                <w:lang w:eastAsia="es-CO"/>
              </w:rPr>
              <w:t xml:space="preserve"> de septiembre de 2025</w:t>
            </w:r>
            <w:r w:rsidRPr="003042D8">
              <w:rPr>
                <w:rFonts w:ascii="Cambria" w:hAnsi="Cambria" w:cstheme="minorHAnsi"/>
                <w:b/>
                <w:color w:val="FF0000"/>
                <w:sz w:val="20"/>
                <w:szCs w:val="20"/>
                <w:lang w:eastAsia="es-CO"/>
              </w:rPr>
              <w:t>)</w:t>
            </w:r>
            <w:r w:rsidRPr="003042D8">
              <w:rPr>
                <w:rFonts w:ascii="Cambria" w:hAnsi="Cambria" w:cstheme="minorHAnsi"/>
                <w:b/>
                <w:color w:val="000000" w:themeColor="text1"/>
                <w:sz w:val="20"/>
                <w:szCs w:val="20"/>
                <w:lang w:eastAsia="es-CO"/>
              </w:rPr>
              <w:t xml:space="preserve">. </w:t>
            </w:r>
            <w:r w:rsidRPr="003042D8">
              <w:rPr>
                <w:rFonts w:ascii="Cambria" w:hAnsi="Cambria" w:cstheme="minorHAnsi"/>
                <w:color w:val="000000" w:themeColor="text1"/>
                <w:sz w:val="20"/>
                <w:szCs w:val="20"/>
                <w:lang w:eastAsia="es-CO"/>
              </w:rPr>
              <w:t>Para efectos de la retención en la fuente, el retenedor deberá aplicar el procedimiento establecido en este artículo.</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 xml:space="preserve"> </w:t>
            </w: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Con relación a los pagos  gravables diferentes de la cesantía, los intereses sobre cesantía, y la prima mínima legal de servicios del sector privado o de navidad del sector público, el "valor a retener" mensualmente es el indicado frente al intervalo de la tabla al cual correspondan la totalidad de dichos pagos  que se hagan al trabajador, directa o indirectamente, durante el respectivo mes. Si tales pagos  se realizan por períodos inferiores a treinta (30) días, su retención podrá calcularse así:</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1.El valor total de los pagos gravables, recibidos directa o indirectamente por el trabajador en el respectivo período, se divide por el número de días a que correspondan tales pagos  y su resultado se multiplica por 30;</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b/>
                <w:bCs/>
                <w:color w:val="000000" w:themeColor="text1"/>
                <w:sz w:val="20"/>
                <w:szCs w:val="20"/>
                <w:highlight w:val="yellow"/>
                <w:u w:val="single"/>
                <w:lang w:eastAsia="es-CO"/>
              </w:rPr>
              <w:t>2. Al valor resultante en el numeral anterior, se podrá restar los valores determinados en el artículo 387 del Estatuto Tributario, arrojando como resultado la base de retención en la fuente</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3. Se determina el porcentaje de retención que figure en la tabla frente al valor obtenido de acuerdo con lo previsto en el literal anterior y dicho porcentaje se aplica a la totalidad de los pagos  gravables recibidos directa o indirectamente por el trabajador en el respectivo período. La cifra resultante será el "valor a retener".</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b/>
                <w:bCs/>
                <w:color w:val="000000" w:themeColor="text1"/>
                <w:sz w:val="20"/>
                <w:szCs w:val="20"/>
                <w:u w:val="single"/>
                <w:lang w:eastAsia="es-CO"/>
              </w:rPr>
            </w:pPr>
            <w:r w:rsidRPr="003042D8">
              <w:rPr>
                <w:rFonts w:ascii="Cambria" w:hAnsi="Cambria" w:cstheme="minorHAnsi"/>
                <w:color w:val="000000" w:themeColor="text1"/>
                <w:sz w:val="20"/>
                <w:szCs w:val="20"/>
                <w:lang w:eastAsia="es-CO"/>
              </w:rPr>
              <w:t xml:space="preserve">Cuando se trate de las </w:t>
            </w:r>
            <w:r w:rsidRPr="003042D8">
              <w:rPr>
                <w:rFonts w:ascii="Cambria" w:hAnsi="Cambria" w:cstheme="minorHAnsi"/>
                <w:b/>
                <w:bCs/>
                <w:color w:val="000000" w:themeColor="text1"/>
                <w:sz w:val="20"/>
                <w:szCs w:val="20"/>
                <w:highlight w:val="yellow"/>
                <w:u w:val="single"/>
                <w:lang w:eastAsia="es-CO"/>
              </w:rPr>
              <w:t>cesantías</w:t>
            </w:r>
            <w:r w:rsidRPr="003042D8">
              <w:rPr>
                <w:rFonts w:ascii="Cambria" w:hAnsi="Cambria" w:cstheme="minorHAnsi"/>
                <w:b/>
                <w:bCs/>
                <w:color w:val="000000" w:themeColor="text1"/>
                <w:sz w:val="20"/>
                <w:szCs w:val="20"/>
                <w:u w:val="single"/>
                <w:lang w:eastAsia="es-CO"/>
              </w:rPr>
              <w:t>,</w:t>
            </w:r>
            <w:r w:rsidRPr="003042D8">
              <w:rPr>
                <w:rFonts w:ascii="Cambria" w:hAnsi="Cambria" w:cstheme="minorHAnsi"/>
                <w:color w:val="000000" w:themeColor="text1"/>
                <w:sz w:val="20"/>
                <w:szCs w:val="20"/>
                <w:lang w:eastAsia="es-CO"/>
              </w:rPr>
              <w:t xml:space="preserve"> prima mínima legal de servicios del sector privado, o de navidad del sector público, el "valor a retener" es el que figure frente al intervalo al cual corresponda </w:t>
            </w:r>
            <w:r w:rsidRPr="003042D8">
              <w:rPr>
                <w:rFonts w:ascii="Cambria" w:hAnsi="Cambria" w:cstheme="minorHAnsi"/>
                <w:b/>
                <w:bCs/>
                <w:color w:val="000000" w:themeColor="text1"/>
                <w:sz w:val="20"/>
                <w:szCs w:val="20"/>
                <w:highlight w:val="yellow"/>
                <w:u w:val="single"/>
                <w:lang w:eastAsia="es-CO"/>
              </w:rPr>
              <w:t>el respectivo pago o consignación al fondo de cesantías.</w:t>
            </w:r>
          </w:p>
          <w:p w:rsidR="00817718" w:rsidRPr="003042D8" w:rsidRDefault="00817718" w:rsidP="00817718">
            <w:pPr>
              <w:jc w:val="both"/>
              <w:rPr>
                <w:rFonts w:ascii="Cambria" w:hAnsi="Cambria" w:cstheme="minorHAnsi"/>
                <w:b/>
                <w:bCs/>
                <w:color w:val="000000" w:themeColor="text1"/>
                <w:sz w:val="20"/>
                <w:szCs w:val="20"/>
                <w:u w:val="single"/>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b/>
                <w:bCs/>
                <w:color w:val="000000" w:themeColor="text1"/>
                <w:sz w:val="20"/>
                <w:szCs w:val="20"/>
                <w:highlight w:val="yellow"/>
                <w:u w:val="single"/>
                <w:lang w:eastAsia="es-CO"/>
              </w:rPr>
              <w:lastRenderedPageBreak/>
              <w:t>Parágrafo. Cuando el trabajador se encuentre obligado a llevar contabilidad, se considera el pago o abono en cuenta lo que ocurra primero para efectos de la aplicación de retención em la fuente</w:t>
            </w:r>
          </w:p>
          <w:p w:rsidR="00817718" w:rsidRPr="003042D8" w:rsidRDefault="00817718" w:rsidP="00817718">
            <w:pPr>
              <w:jc w:val="both"/>
              <w:rPr>
                <w:color w:val="000000" w:themeColor="text1"/>
                <w:sz w:val="20"/>
                <w:szCs w:val="20"/>
              </w:rPr>
            </w:pPr>
          </w:p>
        </w:tc>
      </w:tr>
      <w:tr w:rsidR="00817718" w:rsidTr="0059378C">
        <w:tc>
          <w:tcPr>
            <w:tcW w:w="4958" w:type="dxa"/>
          </w:tcPr>
          <w:p w:rsidR="00817718" w:rsidRPr="003042D8" w:rsidRDefault="00817718" w:rsidP="00817718">
            <w:pPr>
              <w:jc w:val="both"/>
              <w:rPr>
                <w:rFonts w:ascii="Cambria" w:hAnsi="Cambria" w:cstheme="minorHAnsi"/>
                <w:color w:val="000000" w:themeColor="text1"/>
                <w:sz w:val="20"/>
                <w:szCs w:val="20"/>
                <w:lang w:eastAsia="es-CO"/>
              </w:rPr>
            </w:pPr>
            <w:bookmarkStart w:id="19" w:name="386"/>
            <w:r w:rsidRPr="003042D8">
              <w:rPr>
                <w:rFonts w:ascii="Cambria" w:hAnsi="Cambria" w:cstheme="minorHAnsi"/>
                <w:b/>
                <w:bCs/>
                <w:color w:val="000000" w:themeColor="text1"/>
                <w:sz w:val="20"/>
                <w:szCs w:val="20"/>
                <w:lang w:eastAsia="es-CO"/>
              </w:rPr>
              <w:lastRenderedPageBreak/>
              <w:t>“Articulo 386. Segunda opción frente a la retención</w:t>
            </w:r>
            <w:r w:rsidRPr="003042D8">
              <w:rPr>
                <w:rFonts w:ascii="Cambria" w:hAnsi="Cambria" w:cstheme="minorHAnsi"/>
                <w:color w:val="000000" w:themeColor="text1"/>
                <w:sz w:val="20"/>
                <w:szCs w:val="20"/>
                <w:lang w:eastAsia="es-CO"/>
              </w:rPr>
              <w:t>.</w:t>
            </w:r>
            <w:bookmarkEnd w:id="19"/>
            <w:r w:rsidRPr="003042D8">
              <w:rPr>
                <w:rFonts w:ascii="Cambria" w:hAnsi="Cambria" w:cstheme="minorHAnsi"/>
                <w:color w:val="000000" w:themeColor="text1"/>
                <w:sz w:val="20"/>
                <w:szCs w:val="20"/>
                <w:lang w:eastAsia="es-CO"/>
              </w:rPr>
              <w:t>  El retenedor podrá igualmente aplicar el siguiente sistema:</w:t>
            </w: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Procedimiento 2. Cuando se trate de los pagos  gravable &lt;sic&gt; distintos de la cesantía y de los intereses sobre las cesantías, el "valor a retener" mensualmente es el que resulte de aplicar a la totalidad de tales pagos gravables efectuados al trabajador, directa o indirectamente, en el respectivo mes, el porcentaje fijo de retención semestral que le corresponda al trabajador, calculado de conformidad con las siguientes reglas:</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Los retenedores calcularán en los meses de junio y diciembre de cada año el porcentaje fijo de retención que deberá aplicarse a los ingresos de cada trabajador durante los seis meses siguientes a aquél en el cual se haya efectuado el cálculo.</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El porcentaje fijo de retención de que trata el inciso anterior será el que figure en la tabla de retención frente al intervalo al cual corresponda el resultado de dividir por 13 la sumatoria de todos los pagos gravables efectuados al trabajador, directa o indirectamente, durante los 12 meses anteriores a aquél en el cual se efectúa el cálculo, sin incluir los que correspondan a la cesantía y a los intereses sobre cesantías.</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Cuando el trabajador lleve laborando menos de 12 meses al servicio del patrono, el porcentaje fijo de retención será el que figure en la tabla de retención frente al intervalo al cual corresponda el resultado de dividir por el número de meses de vinculación laboral, la sumatoria de todos los pagos gravables efectuados al trabajador, directa o indirectamente, durante dicho lapso, sin incluir los que correspondan a la cesantía y a los intereses sobre cesantías.</w:t>
            </w:r>
          </w:p>
          <w:p w:rsidR="00817718" w:rsidRPr="003042D8" w:rsidRDefault="00817718" w:rsidP="00817718">
            <w:pPr>
              <w:jc w:val="both"/>
              <w:rPr>
                <w:rFonts w:ascii="Cambria" w:hAnsi="Cambria" w:cstheme="minorHAnsi"/>
                <w:color w:val="000000" w:themeColor="text1"/>
                <w:sz w:val="20"/>
                <w:szCs w:val="20"/>
                <w:lang w:eastAsia="es-CO"/>
              </w:rPr>
            </w:pPr>
          </w:p>
          <w:p w:rsidR="00817718" w:rsidRDefault="00817718" w:rsidP="00817718">
            <w:pPr>
              <w:jc w:val="both"/>
              <w:rPr>
                <w:rFonts w:ascii="Cambria" w:hAnsi="Cambria" w:cstheme="minorHAnsi"/>
                <w:color w:val="000000" w:themeColor="text1"/>
                <w:sz w:val="20"/>
                <w:szCs w:val="20"/>
                <w:lang w:eastAsia="es-CO"/>
              </w:rPr>
            </w:pPr>
            <w:r w:rsidRPr="003042D8">
              <w:rPr>
                <w:rFonts w:ascii="Cambria" w:hAnsi="Cambria" w:cstheme="minorHAnsi"/>
                <w:color w:val="000000" w:themeColor="text1"/>
                <w:sz w:val="20"/>
                <w:szCs w:val="20"/>
                <w:lang w:eastAsia="es-CO"/>
              </w:rPr>
              <w:t>Cuando se trate de nuevos trabajadores y hasta tanto se efectúe el primer cálculo, el porcentaje de retención será el que figure en la tabla frente al intervalo al cual corresponda la totalidad de los pagos  gravables que se hagan al trabajador, directa o indirectamente, durante el respectivo mes.”</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rPr>
                <w:color w:val="000000" w:themeColor="text1"/>
                <w:sz w:val="20"/>
                <w:szCs w:val="20"/>
                <w:lang w:eastAsia="es-CO"/>
              </w:rPr>
            </w:pPr>
          </w:p>
        </w:tc>
        <w:tc>
          <w:tcPr>
            <w:tcW w:w="4865" w:type="dxa"/>
          </w:tcPr>
          <w:p w:rsidR="00817718" w:rsidRPr="003042D8" w:rsidRDefault="00817718" w:rsidP="00817718">
            <w:pPr>
              <w:jc w:val="both"/>
              <w:rPr>
                <w:rFonts w:ascii="Cambria" w:hAnsi="Cambria" w:cstheme="minorHAnsi"/>
                <w:color w:val="FF0000"/>
                <w:sz w:val="20"/>
                <w:szCs w:val="20"/>
                <w:lang w:eastAsia="es-CO"/>
              </w:rPr>
            </w:pPr>
            <w:r w:rsidRPr="003042D8">
              <w:rPr>
                <w:rFonts w:ascii="Cambria" w:hAnsi="Cambria" w:cstheme="minorHAnsi"/>
                <w:b/>
                <w:bCs/>
                <w:color w:val="000000" w:themeColor="text1"/>
                <w:sz w:val="20"/>
                <w:szCs w:val="20"/>
                <w:lang w:eastAsia="es-CO"/>
              </w:rPr>
              <w:t>“Articulo 386. Segunda opción frente a la retención (</w:t>
            </w:r>
            <w:r w:rsidRPr="003042D8">
              <w:rPr>
                <w:rFonts w:ascii="Cambria" w:hAnsi="Cambria" w:cstheme="minorHAnsi"/>
                <w:b/>
                <w:bCs/>
                <w:color w:val="FF0000"/>
                <w:sz w:val="20"/>
                <w:szCs w:val="20"/>
                <w:lang w:eastAsia="es-CO"/>
              </w:rPr>
              <w:t>quedaría derogado con lo propuesto en el artículo 95 del proyecto de Ley</w:t>
            </w:r>
            <w:r w:rsidR="00FB60A2">
              <w:rPr>
                <w:rFonts w:ascii="Cambria" w:hAnsi="Cambria" w:cstheme="minorHAnsi"/>
                <w:b/>
                <w:bCs/>
                <w:color w:val="FF0000"/>
                <w:sz w:val="20"/>
                <w:szCs w:val="20"/>
                <w:lang w:eastAsia="es-CO"/>
              </w:rPr>
              <w:t xml:space="preserve"> de septiembre de 2025</w:t>
            </w:r>
            <w:r w:rsidRPr="003042D8">
              <w:rPr>
                <w:rFonts w:ascii="Cambria" w:hAnsi="Cambria" w:cstheme="minorHAnsi"/>
                <w:b/>
                <w:bCs/>
                <w:color w:val="FF0000"/>
                <w:sz w:val="20"/>
                <w:szCs w:val="20"/>
                <w:lang w:eastAsia="es-CO"/>
              </w:rPr>
              <w:t>)</w:t>
            </w:r>
            <w:r w:rsidRPr="003042D8">
              <w:rPr>
                <w:rFonts w:ascii="Cambria" w:hAnsi="Cambria" w:cstheme="minorHAnsi"/>
                <w:color w:val="FF0000"/>
                <w:sz w:val="20"/>
                <w:szCs w:val="20"/>
                <w:lang w:eastAsia="es-CO"/>
              </w:rPr>
              <w:t xml:space="preserve">.  </w:t>
            </w:r>
          </w:p>
          <w:p w:rsidR="00817718" w:rsidRPr="003042D8" w:rsidRDefault="00817718" w:rsidP="00817718">
            <w:pPr>
              <w:jc w:val="both"/>
              <w:rPr>
                <w:rFonts w:ascii="Cambria" w:hAnsi="Cambria" w:cstheme="minorHAnsi"/>
                <w:color w:val="000000" w:themeColor="text1"/>
                <w:sz w:val="20"/>
                <w:szCs w:val="20"/>
                <w:lang w:eastAsia="es-CO"/>
              </w:rPr>
            </w:pPr>
          </w:p>
          <w:p w:rsidR="00817718" w:rsidRPr="003042D8" w:rsidRDefault="00817718" w:rsidP="00817718">
            <w:pPr>
              <w:jc w:val="both"/>
              <w:rPr>
                <w:color w:val="000000" w:themeColor="text1"/>
                <w:sz w:val="20"/>
                <w:szCs w:val="20"/>
              </w:rPr>
            </w:pPr>
          </w:p>
        </w:tc>
      </w:tr>
      <w:tr w:rsidR="00382696" w:rsidTr="0059378C">
        <w:tc>
          <w:tcPr>
            <w:tcW w:w="4958" w:type="dxa"/>
          </w:tcPr>
          <w:p w:rsidR="00382696" w:rsidRDefault="00382696" w:rsidP="00382696">
            <w:pPr>
              <w:jc w:val="both"/>
              <w:rPr>
                <w:rFonts w:ascii="Cambria" w:hAnsi="Cambria"/>
                <w:sz w:val="20"/>
                <w:szCs w:val="20"/>
              </w:rPr>
            </w:pPr>
            <w:bookmarkStart w:id="20" w:name="387"/>
            <w:r w:rsidRPr="00817718">
              <w:rPr>
                <w:rFonts w:ascii="Cambria" w:hAnsi="Cambria"/>
                <w:b/>
                <w:bCs/>
                <w:color w:val="000000" w:themeColor="text1"/>
                <w:sz w:val="20"/>
                <w:szCs w:val="20"/>
              </w:rPr>
              <w:t>Articulo 387. Deducciones que se restarán de la base de retención</w:t>
            </w:r>
            <w:r w:rsidRPr="00817718">
              <w:rPr>
                <w:rFonts w:ascii="Cambria" w:hAnsi="Cambria"/>
                <w:color w:val="00A9E0"/>
                <w:sz w:val="20"/>
                <w:szCs w:val="20"/>
                <w:u w:val="single"/>
              </w:rPr>
              <w:t>.</w:t>
            </w:r>
            <w:bookmarkEnd w:id="20"/>
            <w:r w:rsidRPr="00817718">
              <w:rPr>
                <w:rFonts w:ascii="Cambria" w:hAnsi="Cambria"/>
                <w:sz w:val="20"/>
                <w:szCs w:val="20"/>
              </w:rPr>
              <w:t xml:space="preserve">  En el caso de trabajadores que tengan derecho a la deducción por intereses o corrección monetaria en virtud de préstamos para adquisición de </w:t>
            </w:r>
            <w:r w:rsidRPr="00817718">
              <w:rPr>
                <w:rFonts w:ascii="Cambria" w:hAnsi="Cambria"/>
                <w:sz w:val="20"/>
                <w:szCs w:val="20"/>
              </w:rPr>
              <w:lastRenderedPageBreak/>
              <w:t>vivienda, la base de retención se disminuirá proporcionalmente en la forma que indique el reglamento.</w:t>
            </w:r>
          </w:p>
          <w:p w:rsidR="00382696" w:rsidRDefault="00382696" w:rsidP="00382696">
            <w:pPr>
              <w:jc w:val="both"/>
              <w:rPr>
                <w:rFonts w:ascii="Cambria" w:hAnsi="Cambria"/>
                <w:sz w:val="20"/>
                <w:szCs w:val="20"/>
              </w:rPr>
            </w:pPr>
          </w:p>
          <w:p w:rsidR="006806D5" w:rsidRPr="00817718" w:rsidRDefault="006806D5" w:rsidP="00382696">
            <w:pPr>
              <w:jc w:val="both"/>
              <w:rPr>
                <w:rFonts w:ascii="Cambria" w:hAnsi="Cambria"/>
                <w:sz w:val="20"/>
                <w:szCs w:val="20"/>
              </w:rPr>
            </w:pPr>
          </w:p>
          <w:p w:rsidR="00382696" w:rsidRDefault="00382696" w:rsidP="00382696">
            <w:pPr>
              <w:jc w:val="both"/>
              <w:rPr>
                <w:rFonts w:ascii="Cambria" w:hAnsi="Cambria"/>
                <w:sz w:val="20"/>
                <w:szCs w:val="20"/>
              </w:rPr>
            </w:pPr>
            <w:r w:rsidRPr="00817718">
              <w:rPr>
                <w:rFonts w:ascii="Cambria" w:hAnsi="Cambria"/>
                <w:sz w:val="20"/>
                <w:szCs w:val="20"/>
              </w:rPr>
              <w:t>El trabajador podrá disminuir de su base de retención lo dispuesto en el inciso anterior; los pagos por salud, siempre que el valor a disminuir mensualmente, en este último caso, no supere dieciséis (16) UVT mensuales; y una deducción mensual de hasta el 10% del total de los ingresos brutos provenientes de la relación laboral o legal y reglamentaria del respectivo mes por concepto de dependientes, hasta un máximo de treinta y dos (32) UVT mensuales. Las deducciones establecidas en este artículo se tendrán en cuenta en la declaración ordinaria del Impuesto sobre la Renta. Los pagos por salud deberán cumplir las condiciones de control que señale el Gobierno Nacional:</w:t>
            </w:r>
          </w:p>
          <w:p w:rsidR="00382696" w:rsidRPr="00817718" w:rsidRDefault="00382696" w:rsidP="00382696">
            <w:pPr>
              <w:jc w:val="both"/>
              <w:rPr>
                <w:rFonts w:ascii="Cambria" w:hAnsi="Cambria"/>
                <w:color w:val="454545"/>
                <w:sz w:val="20"/>
                <w:szCs w:val="20"/>
              </w:rPr>
            </w:pPr>
          </w:p>
          <w:p w:rsidR="00382696" w:rsidRDefault="00382696" w:rsidP="00382696">
            <w:pPr>
              <w:jc w:val="both"/>
              <w:rPr>
                <w:rFonts w:ascii="Cambria" w:hAnsi="Cambria"/>
                <w:color w:val="454545"/>
                <w:sz w:val="20"/>
                <w:szCs w:val="20"/>
              </w:rPr>
            </w:pPr>
            <w:r w:rsidRPr="00817718">
              <w:rPr>
                <w:rFonts w:ascii="Cambria" w:hAnsi="Cambria"/>
                <w:sz w:val="20"/>
                <w:szCs w:val="20"/>
              </w:rPr>
              <w:t>a) Los pagos efectuados por contratos de prestación de servicios a empresas de medicina prepagada vigiladas por la Superintendencia Nacional de Salud, que impliquen protección al trabajador, su cónyuge, sus hijos y/o dependientes.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color w:val="454545"/>
                <w:sz w:val="20"/>
                <w:szCs w:val="20"/>
              </w:rPr>
            </w:pPr>
            <w:r w:rsidRPr="00817718">
              <w:rPr>
                <w:rFonts w:ascii="Cambria" w:hAnsi="Cambria"/>
                <w:sz w:val="20"/>
                <w:szCs w:val="20"/>
              </w:rPr>
              <w:t>b) Los pagos efectuados por seguros de salud, expedidos por compañías de seguros vigiladas por la Superintendencia Financiera de Colombia, con la misma limitación del literal anterior.</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color w:val="454545"/>
                <w:sz w:val="20"/>
                <w:szCs w:val="20"/>
              </w:rPr>
            </w:pPr>
            <w:r w:rsidRPr="00382696">
              <w:rPr>
                <w:rStyle w:val="baj"/>
                <w:rFonts w:ascii="Cambria" w:hAnsi="Cambria"/>
                <w:b/>
                <w:bCs/>
                <w:color w:val="343536"/>
                <w:spacing w:val="2"/>
                <w:sz w:val="20"/>
                <w:szCs w:val="20"/>
                <w:highlight w:val="yellow"/>
              </w:rPr>
              <w:t>PARÁGRAFO 1o.</w:t>
            </w:r>
            <w:r w:rsidRPr="00382696">
              <w:rPr>
                <w:rFonts w:ascii="Cambria" w:hAnsi="Cambria"/>
                <w:sz w:val="20"/>
                <w:szCs w:val="20"/>
                <w:highlight w:val="yellow"/>
              </w:rPr>
              <w:t> Cuando se trate del Procedimiento de Retención número dos, el valor que sea procedente disminuir mensualmente, determinado en la forma señalada en el presente artículo, se tendrá en cuenta tanto para calcular el porcentaje fijo de retención semestral, como para determinar la base sometida a retención.</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color w:val="454545"/>
                <w:sz w:val="20"/>
                <w:szCs w:val="20"/>
              </w:rPr>
            </w:pPr>
            <w:r w:rsidRPr="00817718">
              <w:rPr>
                <w:rStyle w:val="baj"/>
                <w:rFonts w:ascii="Cambria" w:hAnsi="Cambria"/>
                <w:b/>
                <w:bCs/>
                <w:color w:val="343536"/>
                <w:spacing w:val="2"/>
                <w:sz w:val="20"/>
                <w:szCs w:val="20"/>
              </w:rPr>
              <w:t>PARÁGRAFO 2o.</w:t>
            </w:r>
            <w:r w:rsidRPr="00817718">
              <w:rPr>
                <w:rFonts w:ascii="Cambria" w:hAnsi="Cambria"/>
                <w:sz w:val="20"/>
                <w:szCs w:val="20"/>
              </w:rPr>
              <w:t> </w:t>
            </w:r>
            <w:r w:rsidRPr="00817718">
              <w:rPr>
                <w:rStyle w:val="baj"/>
                <w:rFonts w:ascii="Cambria" w:hAnsi="Cambria"/>
                <w:b/>
                <w:bCs/>
                <w:color w:val="343536"/>
                <w:spacing w:val="2"/>
                <w:sz w:val="20"/>
                <w:szCs w:val="20"/>
              </w:rPr>
              <w:t>DEFINICIÓN DE DEPENDIENTES.</w:t>
            </w:r>
            <w:r w:rsidRPr="00817718">
              <w:rPr>
                <w:rFonts w:ascii="Cambria" w:hAnsi="Cambria"/>
                <w:sz w:val="20"/>
                <w:szCs w:val="20"/>
              </w:rPr>
              <w:t>  Para propósitos de este artículo tendrán la calidad de dependientes: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Pr="00817718" w:rsidRDefault="00382696" w:rsidP="00382696">
            <w:pPr>
              <w:jc w:val="both"/>
              <w:rPr>
                <w:rFonts w:ascii="Cambria" w:hAnsi="Cambria"/>
                <w:sz w:val="20"/>
                <w:szCs w:val="20"/>
              </w:rPr>
            </w:pPr>
            <w:r w:rsidRPr="00817718">
              <w:rPr>
                <w:rFonts w:ascii="Cambria" w:hAnsi="Cambria"/>
                <w:sz w:val="20"/>
                <w:szCs w:val="20"/>
              </w:rPr>
              <w:t>1. Los hijos del contribuyente que tengan hasta 18 años de edad.</w:t>
            </w:r>
          </w:p>
          <w:p w:rsidR="00382696" w:rsidRPr="00817718" w:rsidRDefault="00382696" w:rsidP="00382696">
            <w:pPr>
              <w:jc w:val="both"/>
              <w:rPr>
                <w:rFonts w:ascii="Cambria" w:hAnsi="Cambria"/>
                <w:color w:val="454545"/>
                <w:sz w:val="20"/>
                <w:szCs w:val="20"/>
              </w:rPr>
            </w:pPr>
            <w:r w:rsidRPr="00817718">
              <w:rPr>
                <w:rFonts w:ascii="Cambria" w:hAnsi="Cambria"/>
                <w:sz w:val="20"/>
                <w:szCs w:val="20"/>
              </w:rPr>
              <w:t>2. &lt;Numeral modificado por el artículo </w:t>
            </w:r>
            <w:hyperlink r:id="rId46" w:anchor="2" w:history="1">
              <w:r w:rsidRPr="00817718">
                <w:rPr>
                  <w:rStyle w:val="Hipervnculo"/>
                  <w:rFonts w:ascii="Cambria" w:hAnsi="Cambria"/>
                  <w:color w:val="00A9E0"/>
                  <w:spacing w:val="2"/>
                  <w:sz w:val="20"/>
                  <w:szCs w:val="20"/>
                </w:rPr>
                <w:t>2</w:t>
              </w:r>
            </w:hyperlink>
            <w:r w:rsidRPr="00817718">
              <w:rPr>
                <w:rFonts w:ascii="Cambria" w:hAnsi="Cambria"/>
                <w:sz w:val="20"/>
                <w:szCs w:val="20"/>
              </w:rPr>
              <w:t> de la Ley 2411 de 2024. El nuevo texto es el siguiente:&gt; Los hijos del contribuyente con edad entre 18 y 25 años, cuando el padre madre contribuyente persona natural se encuentre financiando su educación en instituciones formales de educación superior certificadas por el ICFES o la autoridad oficial correspondiente; o en los programas técnicos de educación no formal debidamente acreditados por la autoridad competente.</w:t>
            </w:r>
            <w:r w:rsidRPr="00817718">
              <w:rPr>
                <w:rFonts w:ascii="Cambria" w:hAnsi="Cambria"/>
                <w:color w:val="454545"/>
                <w:sz w:val="20"/>
                <w:szCs w:val="20"/>
              </w:rPr>
              <w:t xml:space="preserve"> </w:t>
            </w:r>
          </w:p>
          <w:p w:rsidR="00382696" w:rsidRPr="00817718" w:rsidRDefault="00382696" w:rsidP="00382696">
            <w:pPr>
              <w:jc w:val="both"/>
              <w:rPr>
                <w:rFonts w:ascii="Cambria" w:hAnsi="Cambria"/>
                <w:color w:val="454545"/>
                <w:sz w:val="20"/>
                <w:szCs w:val="20"/>
              </w:rPr>
            </w:pPr>
          </w:p>
          <w:p w:rsidR="00382696" w:rsidRDefault="00382696" w:rsidP="00382696">
            <w:pPr>
              <w:jc w:val="both"/>
              <w:rPr>
                <w:rFonts w:ascii="Cambria" w:hAnsi="Cambria"/>
                <w:sz w:val="20"/>
                <w:szCs w:val="20"/>
              </w:rPr>
            </w:pPr>
            <w:r w:rsidRPr="00817718">
              <w:rPr>
                <w:rFonts w:ascii="Cambria" w:hAnsi="Cambria"/>
                <w:sz w:val="20"/>
                <w:szCs w:val="20"/>
              </w:rPr>
              <w:lastRenderedPageBreak/>
              <w:t>3. &lt;Numeral modificado por el artículo </w:t>
            </w:r>
            <w:hyperlink r:id="rId47" w:anchor="2" w:history="1">
              <w:r w:rsidRPr="00817718">
                <w:rPr>
                  <w:rStyle w:val="Hipervnculo"/>
                  <w:rFonts w:ascii="Cambria" w:hAnsi="Cambria"/>
                  <w:color w:val="00A9E0"/>
                  <w:spacing w:val="2"/>
                  <w:sz w:val="20"/>
                  <w:szCs w:val="20"/>
                </w:rPr>
                <w:t>2</w:t>
              </w:r>
            </w:hyperlink>
            <w:r w:rsidRPr="00817718">
              <w:rPr>
                <w:rFonts w:ascii="Cambria" w:hAnsi="Cambria"/>
                <w:sz w:val="20"/>
                <w:szCs w:val="20"/>
              </w:rPr>
              <w:t> de la Ley 2411 de 2024. El nuevo texto es el siguiente:&gt; Los hijos del contribuyente mayores de dieciocho (18) años que se encuentren en situación de dependencia, originada en factores físicos psicológicos que sean certificados por el Ministerio de Salud y Protección Social o la entidad determinada por las normas vigentes.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sz w:val="20"/>
                <w:szCs w:val="20"/>
              </w:rPr>
            </w:pPr>
            <w:r w:rsidRPr="00817718">
              <w:rPr>
                <w:rFonts w:ascii="Cambria" w:hAnsi="Cambria"/>
                <w:sz w:val="20"/>
                <w:szCs w:val="20"/>
              </w:rPr>
              <w:t>4. El cónyuge o compañero permanente del contribuyente que se encuentre en situación de dependencia sea por ausencia de ingresos o ingresos en el año menores a doscientas sesenta (260) UVT, certificada por contador público, o por dependencia originada en factores físicos o psicológicos que sean certificados por Medicina Legal, y,</w:t>
            </w:r>
          </w:p>
          <w:p w:rsidR="00382696" w:rsidRPr="00817718" w:rsidRDefault="00382696" w:rsidP="00382696">
            <w:pPr>
              <w:jc w:val="both"/>
              <w:rPr>
                <w:rFonts w:ascii="Cambria" w:hAnsi="Cambria"/>
                <w:sz w:val="20"/>
                <w:szCs w:val="20"/>
              </w:rPr>
            </w:pPr>
          </w:p>
          <w:p w:rsidR="00382696" w:rsidRPr="00817718" w:rsidRDefault="00382696" w:rsidP="00382696">
            <w:pPr>
              <w:jc w:val="both"/>
              <w:rPr>
                <w:rFonts w:ascii="Cambria" w:hAnsi="Cambria"/>
                <w:sz w:val="20"/>
                <w:szCs w:val="20"/>
              </w:rPr>
            </w:pPr>
            <w:r w:rsidRPr="00817718">
              <w:rPr>
                <w:rFonts w:ascii="Cambria" w:hAnsi="Cambria"/>
                <w:sz w:val="20"/>
                <w:szCs w:val="20"/>
              </w:rPr>
              <w:t>5. Los padres y los hermanos del contribuyente que se encuentren en situación de dependencia, sea por ausencia de ingresos o ingresos en el año menores a doscientas sesenta (260) UVT, certificada por contador público, o por dependencia originada en factores físicos o psicológicos que sean certificados por Medicina Legal.</w:t>
            </w:r>
          </w:p>
          <w:p w:rsidR="00382696" w:rsidRPr="00817718" w:rsidRDefault="00382696" w:rsidP="00382696">
            <w:pPr>
              <w:jc w:val="both"/>
              <w:rPr>
                <w:rFonts w:ascii="Cambria" w:hAnsi="Cambria"/>
                <w:sz w:val="20"/>
                <w:szCs w:val="20"/>
              </w:rPr>
            </w:pPr>
          </w:p>
        </w:tc>
        <w:tc>
          <w:tcPr>
            <w:tcW w:w="4865" w:type="dxa"/>
          </w:tcPr>
          <w:p w:rsidR="00382696" w:rsidRDefault="00382696" w:rsidP="00382696">
            <w:pPr>
              <w:jc w:val="both"/>
              <w:rPr>
                <w:rFonts w:ascii="Cambria" w:hAnsi="Cambria"/>
                <w:sz w:val="20"/>
                <w:szCs w:val="20"/>
              </w:rPr>
            </w:pPr>
            <w:r w:rsidRPr="00817718">
              <w:rPr>
                <w:rFonts w:ascii="Cambria" w:hAnsi="Cambria"/>
                <w:b/>
                <w:bCs/>
                <w:color w:val="000000" w:themeColor="text1"/>
                <w:sz w:val="20"/>
                <w:szCs w:val="20"/>
              </w:rPr>
              <w:lastRenderedPageBreak/>
              <w:t>Articulo 387. Deducciones que se restarán de la base de retención</w:t>
            </w:r>
            <w:r>
              <w:rPr>
                <w:rFonts w:ascii="Cambria" w:hAnsi="Cambria"/>
                <w:b/>
                <w:bCs/>
                <w:color w:val="000000" w:themeColor="text1"/>
                <w:sz w:val="20"/>
                <w:szCs w:val="20"/>
              </w:rPr>
              <w:t xml:space="preserve"> </w:t>
            </w:r>
            <w:r w:rsidR="006806D5" w:rsidRPr="006806D5">
              <w:rPr>
                <w:rFonts w:ascii="Cambria" w:hAnsi="Cambria"/>
                <w:b/>
                <w:bCs/>
                <w:color w:val="FF0000"/>
                <w:sz w:val="20"/>
                <w:szCs w:val="20"/>
              </w:rPr>
              <w:t>(modificado con art</w:t>
            </w:r>
            <w:proofErr w:type="spellStart"/>
            <w:r w:rsidR="006806D5" w:rsidRPr="006806D5">
              <w:rPr>
                <w:rFonts w:ascii="Cambria" w:hAnsi="Cambria"/>
                <w:b/>
                <w:bCs/>
                <w:color w:val="FF0000"/>
                <w:sz w:val="20"/>
                <w:szCs w:val="20"/>
                <w:lang w:val="es-ES"/>
              </w:rPr>
              <w:t>ículo</w:t>
            </w:r>
            <w:proofErr w:type="spellEnd"/>
            <w:r w:rsidR="006806D5" w:rsidRPr="006806D5">
              <w:rPr>
                <w:rFonts w:ascii="Cambria" w:hAnsi="Cambria"/>
                <w:b/>
                <w:bCs/>
                <w:color w:val="FF0000"/>
                <w:sz w:val="20"/>
                <w:szCs w:val="20"/>
                <w:lang w:val="es-ES"/>
              </w:rPr>
              <w:t xml:space="preserve"> 95 </w:t>
            </w:r>
            <w:r w:rsidR="00FB60A2">
              <w:rPr>
                <w:rFonts w:ascii="Cambria" w:hAnsi="Cambria"/>
                <w:b/>
                <w:bCs/>
                <w:color w:val="FF0000"/>
                <w:sz w:val="20"/>
                <w:szCs w:val="20"/>
                <w:lang w:val="es-ES"/>
              </w:rPr>
              <w:t>proyecto de Ley de septiembre de 2025</w:t>
            </w:r>
            <w:r w:rsidR="006806D5" w:rsidRPr="006806D5">
              <w:rPr>
                <w:rFonts w:ascii="Cambria" w:hAnsi="Cambria"/>
                <w:b/>
                <w:bCs/>
                <w:color w:val="FF0000"/>
                <w:sz w:val="20"/>
                <w:szCs w:val="20"/>
                <w:lang w:val="es-ES"/>
              </w:rPr>
              <w:t>)</w:t>
            </w:r>
            <w:r w:rsidRPr="00817718">
              <w:rPr>
                <w:rFonts w:ascii="Cambria" w:hAnsi="Cambria"/>
                <w:color w:val="00A9E0"/>
                <w:sz w:val="20"/>
                <w:szCs w:val="20"/>
                <w:u w:val="single"/>
              </w:rPr>
              <w:t>.</w:t>
            </w:r>
            <w:r w:rsidRPr="00817718">
              <w:rPr>
                <w:rFonts w:ascii="Cambria" w:hAnsi="Cambria"/>
                <w:sz w:val="20"/>
                <w:szCs w:val="20"/>
              </w:rPr>
              <w:t xml:space="preserve">  En el caso de trabajadores que tengan derecho a la deducción por </w:t>
            </w:r>
            <w:r w:rsidRPr="00817718">
              <w:rPr>
                <w:rFonts w:ascii="Cambria" w:hAnsi="Cambria"/>
                <w:sz w:val="20"/>
                <w:szCs w:val="20"/>
              </w:rPr>
              <w:lastRenderedPageBreak/>
              <w:t>intereses o corrección monetaria en virtud de préstamos para adquisición de vivienda, la base de retención se disminuirá proporcionalmente en la forma que indique el reglamento.</w:t>
            </w:r>
          </w:p>
          <w:p w:rsidR="00382696" w:rsidRPr="00817718" w:rsidRDefault="00382696" w:rsidP="00382696">
            <w:pPr>
              <w:jc w:val="both"/>
              <w:rPr>
                <w:rFonts w:ascii="Cambria" w:hAnsi="Cambria"/>
                <w:sz w:val="20"/>
                <w:szCs w:val="20"/>
              </w:rPr>
            </w:pPr>
          </w:p>
          <w:p w:rsidR="00382696" w:rsidRDefault="00382696" w:rsidP="00382696">
            <w:pPr>
              <w:jc w:val="both"/>
              <w:rPr>
                <w:rFonts w:ascii="Cambria" w:hAnsi="Cambria"/>
                <w:sz w:val="20"/>
                <w:szCs w:val="20"/>
              </w:rPr>
            </w:pPr>
            <w:r w:rsidRPr="00817718">
              <w:rPr>
                <w:rFonts w:ascii="Cambria" w:hAnsi="Cambria"/>
                <w:sz w:val="20"/>
                <w:szCs w:val="20"/>
              </w:rPr>
              <w:t>El trabajador podrá disminuir de su base de retención lo dispuesto en el inciso anterior; los pagos por salud, siempre que el valor a disminuir mensualmente, en este último caso, no supere dieciséis (16) UVT mensuales; y una deducción mensual de hasta el 10% del total de los ingresos brutos provenientes de la relación laboral o legal y reglamentaria del respectivo mes por concepto de dependientes, hasta un máximo de treinta y dos (32) UVT mensuales. Las deducciones establecidas en este artículo se tendrán en cuenta en la declaración ordinaria del Impuesto sobre la Renta. Los pagos por salud deberán cumplir las condiciones de control que señale el Gobierno Nacional:</w:t>
            </w:r>
          </w:p>
          <w:p w:rsidR="00382696" w:rsidRPr="00817718" w:rsidRDefault="00382696" w:rsidP="00382696">
            <w:pPr>
              <w:jc w:val="both"/>
              <w:rPr>
                <w:rFonts w:ascii="Cambria" w:hAnsi="Cambria"/>
                <w:color w:val="454545"/>
                <w:sz w:val="20"/>
                <w:szCs w:val="20"/>
              </w:rPr>
            </w:pPr>
          </w:p>
          <w:p w:rsidR="00382696" w:rsidRDefault="00382696" w:rsidP="00382696">
            <w:pPr>
              <w:jc w:val="both"/>
              <w:rPr>
                <w:rFonts w:ascii="Cambria" w:hAnsi="Cambria"/>
                <w:color w:val="454545"/>
                <w:sz w:val="20"/>
                <w:szCs w:val="20"/>
              </w:rPr>
            </w:pPr>
            <w:r w:rsidRPr="00817718">
              <w:rPr>
                <w:rFonts w:ascii="Cambria" w:hAnsi="Cambria"/>
                <w:sz w:val="20"/>
                <w:szCs w:val="20"/>
              </w:rPr>
              <w:t>a) Los pagos efectuados por contratos de prestación de servicios a empresas de medicina prepagada vigiladas por la Superintendencia Nacional de Salud, que impliquen protección al trabajador, su cónyuge, sus hijos y/o dependientes.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color w:val="454545"/>
                <w:sz w:val="20"/>
                <w:szCs w:val="20"/>
              </w:rPr>
            </w:pPr>
            <w:r w:rsidRPr="00817718">
              <w:rPr>
                <w:rFonts w:ascii="Cambria" w:hAnsi="Cambria"/>
                <w:sz w:val="20"/>
                <w:szCs w:val="20"/>
              </w:rPr>
              <w:t>b) Los pagos efectuados por seguros de salud, expedidos por compañías de seguros vigiladas por la Superintendencia Financiera de Colombia, con la misma limitación del literal anterior.</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color w:val="454545"/>
                <w:sz w:val="20"/>
                <w:szCs w:val="20"/>
              </w:rPr>
            </w:pPr>
            <w:r w:rsidRPr="00382696">
              <w:rPr>
                <w:rStyle w:val="baj"/>
                <w:rFonts w:ascii="Cambria" w:hAnsi="Cambria"/>
                <w:b/>
                <w:bCs/>
                <w:color w:val="343536"/>
                <w:spacing w:val="2"/>
                <w:sz w:val="20"/>
                <w:szCs w:val="20"/>
                <w:highlight w:val="yellow"/>
              </w:rPr>
              <w:t>Derogado</w:t>
            </w:r>
            <w:r w:rsidRPr="00817718">
              <w:rPr>
                <w:rFonts w:ascii="Cambria" w:hAnsi="Cambria"/>
                <w:color w:val="454545"/>
                <w:sz w:val="20"/>
                <w:szCs w:val="20"/>
              </w:rPr>
              <w:t xml:space="preserve"> </w:t>
            </w:r>
          </w:p>
          <w:p w:rsidR="00382696" w:rsidRDefault="00382696" w:rsidP="00382696">
            <w:pPr>
              <w:jc w:val="both"/>
              <w:rPr>
                <w:color w:val="454545"/>
              </w:rPr>
            </w:pPr>
          </w:p>
          <w:p w:rsidR="00382696" w:rsidRDefault="00382696" w:rsidP="00382696">
            <w:pPr>
              <w:jc w:val="both"/>
              <w:rPr>
                <w:color w:val="454545"/>
              </w:rPr>
            </w:pPr>
          </w:p>
          <w:p w:rsidR="00382696" w:rsidRDefault="00382696" w:rsidP="00382696">
            <w:pPr>
              <w:jc w:val="both"/>
              <w:rPr>
                <w:color w:val="454545"/>
              </w:rPr>
            </w:pPr>
          </w:p>
          <w:p w:rsidR="00382696" w:rsidRDefault="00382696" w:rsidP="00382696">
            <w:pPr>
              <w:jc w:val="both"/>
              <w:rPr>
                <w:color w:val="454545"/>
              </w:rPr>
            </w:pPr>
          </w:p>
          <w:p w:rsidR="00382696" w:rsidRDefault="00382696" w:rsidP="00382696">
            <w:pPr>
              <w:jc w:val="both"/>
              <w:rPr>
                <w:rFonts w:ascii="Cambria" w:hAnsi="Cambria"/>
                <w:b/>
                <w:bCs/>
                <w:color w:val="343536"/>
                <w:spacing w:val="2"/>
                <w:sz w:val="20"/>
                <w:szCs w:val="20"/>
              </w:rPr>
            </w:pPr>
          </w:p>
          <w:p w:rsidR="00382696" w:rsidRPr="00382696" w:rsidRDefault="00382696" w:rsidP="00382696">
            <w:pPr>
              <w:jc w:val="both"/>
              <w:rPr>
                <w:rFonts w:ascii="Cambria" w:hAnsi="Cambria"/>
                <w:b/>
                <w:bCs/>
                <w:color w:val="343536"/>
                <w:spacing w:val="2"/>
                <w:sz w:val="20"/>
                <w:szCs w:val="20"/>
              </w:rPr>
            </w:pPr>
          </w:p>
          <w:p w:rsidR="00382696" w:rsidRDefault="00382696" w:rsidP="00382696">
            <w:pPr>
              <w:jc w:val="both"/>
              <w:rPr>
                <w:rFonts w:ascii="Cambria" w:hAnsi="Cambria"/>
                <w:color w:val="454545"/>
                <w:sz w:val="20"/>
                <w:szCs w:val="20"/>
              </w:rPr>
            </w:pPr>
            <w:r w:rsidRPr="00817718">
              <w:rPr>
                <w:rStyle w:val="baj"/>
                <w:rFonts w:ascii="Cambria" w:hAnsi="Cambria"/>
                <w:b/>
                <w:bCs/>
                <w:color w:val="343536"/>
                <w:spacing w:val="2"/>
                <w:sz w:val="20"/>
                <w:szCs w:val="20"/>
              </w:rPr>
              <w:t>PARÁGRAFO 2o.</w:t>
            </w:r>
            <w:r w:rsidRPr="00817718">
              <w:rPr>
                <w:rFonts w:ascii="Cambria" w:hAnsi="Cambria"/>
                <w:sz w:val="20"/>
                <w:szCs w:val="20"/>
              </w:rPr>
              <w:t> </w:t>
            </w:r>
            <w:r w:rsidRPr="00817718">
              <w:rPr>
                <w:rStyle w:val="baj"/>
                <w:rFonts w:ascii="Cambria" w:hAnsi="Cambria"/>
                <w:b/>
                <w:bCs/>
                <w:color w:val="343536"/>
                <w:spacing w:val="2"/>
                <w:sz w:val="20"/>
                <w:szCs w:val="20"/>
              </w:rPr>
              <w:t>DEFINICIÓN DE DEPENDIENTES.</w:t>
            </w:r>
            <w:r w:rsidRPr="00817718">
              <w:rPr>
                <w:rFonts w:ascii="Cambria" w:hAnsi="Cambria"/>
                <w:sz w:val="20"/>
                <w:szCs w:val="20"/>
              </w:rPr>
              <w:t>  Para propósitos de este artículo tendrán la calidad de dependientes: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Pr="00817718" w:rsidRDefault="00382696" w:rsidP="00382696">
            <w:pPr>
              <w:jc w:val="both"/>
              <w:rPr>
                <w:rFonts w:ascii="Cambria" w:hAnsi="Cambria"/>
                <w:sz w:val="20"/>
                <w:szCs w:val="20"/>
              </w:rPr>
            </w:pPr>
            <w:r w:rsidRPr="00817718">
              <w:rPr>
                <w:rFonts w:ascii="Cambria" w:hAnsi="Cambria"/>
                <w:sz w:val="20"/>
                <w:szCs w:val="20"/>
              </w:rPr>
              <w:t>1. Los hijos del contribuyente que tengan hasta 18 años de edad.</w:t>
            </w:r>
          </w:p>
          <w:p w:rsidR="00382696" w:rsidRPr="00817718" w:rsidRDefault="00382696" w:rsidP="00382696">
            <w:pPr>
              <w:jc w:val="both"/>
              <w:rPr>
                <w:rFonts w:ascii="Cambria" w:hAnsi="Cambria"/>
                <w:color w:val="454545"/>
                <w:sz w:val="20"/>
                <w:szCs w:val="20"/>
              </w:rPr>
            </w:pPr>
            <w:r w:rsidRPr="00817718">
              <w:rPr>
                <w:rFonts w:ascii="Cambria" w:hAnsi="Cambria"/>
                <w:sz w:val="20"/>
                <w:szCs w:val="20"/>
              </w:rPr>
              <w:t>2. &lt;Numeral modificado por el artículo </w:t>
            </w:r>
            <w:hyperlink r:id="rId48" w:anchor="2" w:history="1">
              <w:r w:rsidRPr="00817718">
                <w:rPr>
                  <w:rStyle w:val="Hipervnculo"/>
                  <w:rFonts w:ascii="Cambria" w:hAnsi="Cambria"/>
                  <w:color w:val="00A9E0"/>
                  <w:spacing w:val="2"/>
                  <w:sz w:val="20"/>
                  <w:szCs w:val="20"/>
                </w:rPr>
                <w:t>2</w:t>
              </w:r>
            </w:hyperlink>
            <w:r w:rsidRPr="00817718">
              <w:rPr>
                <w:rFonts w:ascii="Cambria" w:hAnsi="Cambria"/>
                <w:sz w:val="20"/>
                <w:szCs w:val="20"/>
              </w:rPr>
              <w:t> de la Ley 2411 de 2024. El nuevo texto es el siguiente:&gt; Los hijos del contribuyente con edad entre 18 y 25 años, cuando el padre madre contribuyente persona natural se encuentre financiando su educación en instituciones formales de educación superior certificadas por el ICFES o la autoridad oficial correspondiente; o en los programas técnicos de educación no formal debidamente acreditados por la autoridad competente.</w:t>
            </w:r>
            <w:r w:rsidRPr="00817718">
              <w:rPr>
                <w:rFonts w:ascii="Cambria" w:hAnsi="Cambria"/>
                <w:color w:val="454545"/>
                <w:sz w:val="20"/>
                <w:szCs w:val="20"/>
              </w:rPr>
              <w:t xml:space="preserve"> </w:t>
            </w:r>
          </w:p>
          <w:p w:rsidR="00382696" w:rsidRPr="00817718" w:rsidRDefault="00382696" w:rsidP="00382696">
            <w:pPr>
              <w:jc w:val="both"/>
              <w:rPr>
                <w:rFonts w:ascii="Cambria" w:hAnsi="Cambria"/>
                <w:color w:val="454545"/>
                <w:sz w:val="20"/>
                <w:szCs w:val="20"/>
              </w:rPr>
            </w:pPr>
          </w:p>
          <w:p w:rsidR="00382696" w:rsidRDefault="00382696" w:rsidP="00382696">
            <w:pPr>
              <w:jc w:val="both"/>
              <w:rPr>
                <w:rFonts w:ascii="Cambria" w:hAnsi="Cambria"/>
                <w:sz w:val="20"/>
                <w:szCs w:val="20"/>
              </w:rPr>
            </w:pPr>
            <w:r w:rsidRPr="00817718">
              <w:rPr>
                <w:rFonts w:ascii="Cambria" w:hAnsi="Cambria"/>
                <w:sz w:val="20"/>
                <w:szCs w:val="20"/>
              </w:rPr>
              <w:lastRenderedPageBreak/>
              <w:t>3. &lt;Numeral modificado por el artículo </w:t>
            </w:r>
            <w:hyperlink r:id="rId49" w:anchor="2" w:history="1">
              <w:r w:rsidRPr="00817718">
                <w:rPr>
                  <w:rStyle w:val="Hipervnculo"/>
                  <w:rFonts w:ascii="Cambria" w:hAnsi="Cambria"/>
                  <w:color w:val="00A9E0"/>
                  <w:spacing w:val="2"/>
                  <w:sz w:val="20"/>
                  <w:szCs w:val="20"/>
                </w:rPr>
                <w:t>2</w:t>
              </w:r>
            </w:hyperlink>
            <w:r w:rsidRPr="00817718">
              <w:rPr>
                <w:rFonts w:ascii="Cambria" w:hAnsi="Cambria"/>
                <w:sz w:val="20"/>
                <w:szCs w:val="20"/>
              </w:rPr>
              <w:t> de la Ley 2411 de 2024. El nuevo texto es el siguiente:&gt; Los hijos del contribuyente mayores de dieciocho (18) años que se encuentren en situación de dependencia, originada en factores físicos psicológicos que sean certificados por el Ministerio de Salud y Protección Social o la entidad determinada por las normas vigentes.</w:t>
            </w:r>
          </w:p>
          <w:p w:rsidR="00382696" w:rsidRPr="00817718" w:rsidRDefault="00382696" w:rsidP="00382696">
            <w:pPr>
              <w:jc w:val="both"/>
              <w:rPr>
                <w:rFonts w:ascii="Cambria" w:hAnsi="Cambria"/>
                <w:color w:val="454545"/>
                <w:sz w:val="20"/>
                <w:szCs w:val="20"/>
              </w:rPr>
            </w:pPr>
            <w:r w:rsidRPr="00817718">
              <w:rPr>
                <w:rFonts w:ascii="Cambria" w:hAnsi="Cambria"/>
                <w:color w:val="454545"/>
                <w:sz w:val="20"/>
                <w:szCs w:val="20"/>
              </w:rPr>
              <w:t xml:space="preserve"> </w:t>
            </w:r>
          </w:p>
          <w:p w:rsidR="00382696" w:rsidRDefault="00382696" w:rsidP="00382696">
            <w:pPr>
              <w:jc w:val="both"/>
              <w:rPr>
                <w:rFonts w:ascii="Cambria" w:hAnsi="Cambria"/>
                <w:sz w:val="20"/>
                <w:szCs w:val="20"/>
              </w:rPr>
            </w:pPr>
            <w:r w:rsidRPr="00817718">
              <w:rPr>
                <w:rFonts w:ascii="Cambria" w:hAnsi="Cambria"/>
                <w:sz w:val="20"/>
                <w:szCs w:val="20"/>
              </w:rPr>
              <w:t>4. El cónyuge o compañero permanente del contribuyente que se encuentre en situación de dependencia sea por ausencia de ingresos o ingresos en el año menores a doscientas sesenta (260) UVT, certificada por contador público, o por dependencia originada en factores físicos o psicológicos que sean certificados por Medicina Legal, y,</w:t>
            </w:r>
          </w:p>
          <w:p w:rsidR="00382696" w:rsidRPr="00817718" w:rsidRDefault="00382696" w:rsidP="00382696">
            <w:pPr>
              <w:jc w:val="both"/>
              <w:rPr>
                <w:rFonts w:ascii="Cambria" w:hAnsi="Cambria"/>
                <w:sz w:val="20"/>
                <w:szCs w:val="20"/>
              </w:rPr>
            </w:pPr>
          </w:p>
          <w:p w:rsidR="00382696" w:rsidRPr="00817718" w:rsidRDefault="00382696" w:rsidP="00382696">
            <w:pPr>
              <w:jc w:val="both"/>
              <w:rPr>
                <w:rFonts w:ascii="Cambria" w:hAnsi="Cambria"/>
                <w:sz w:val="20"/>
                <w:szCs w:val="20"/>
              </w:rPr>
            </w:pPr>
            <w:r w:rsidRPr="00817718">
              <w:rPr>
                <w:rFonts w:ascii="Cambria" w:hAnsi="Cambria"/>
                <w:sz w:val="20"/>
                <w:szCs w:val="20"/>
              </w:rPr>
              <w:t>5. Los padres y los hermanos del contribuyente que se encuentren en situación de dependencia, sea por ausencia de ingresos o ingresos en el año menores a doscientas sesenta (260) UVT, certificada por contador público, o por dependencia originada en factores físicos o psicológicos que sean certificados por Medicina Legal.</w:t>
            </w:r>
          </w:p>
          <w:p w:rsidR="00382696" w:rsidRPr="00817718" w:rsidRDefault="00382696" w:rsidP="00382696">
            <w:pPr>
              <w:jc w:val="both"/>
              <w:rPr>
                <w:rFonts w:ascii="Cambria" w:hAnsi="Cambria"/>
                <w:sz w:val="20"/>
                <w:szCs w:val="20"/>
              </w:rPr>
            </w:pPr>
          </w:p>
        </w:tc>
      </w:tr>
      <w:tr w:rsidR="0087796B" w:rsidTr="0059378C">
        <w:tc>
          <w:tcPr>
            <w:tcW w:w="4958" w:type="dxa"/>
          </w:tcPr>
          <w:p w:rsidR="0087796B" w:rsidRPr="0087796B" w:rsidRDefault="0087796B" w:rsidP="0087796B">
            <w:pPr>
              <w:jc w:val="both"/>
              <w:rPr>
                <w:rFonts w:ascii="Cambria" w:hAnsi="Cambria"/>
                <w:sz w:val="20"/>
                <w:szCs w:val="20"/>
              </w:rPr>
            </w:pPr>
            <w:r w:rsidRPr="0087796B">
              <w:rPr>
                <w:rFonts w:ascii="Cambria" w:hAnsi="Cambria"/>
                <w:b/>
                <w:bCs/>
                <w:color w:val="000000" w:themeColor="text1"/>
                <w:sz w:val="20"/>
                <w:szCs w:val="20"/>
              </w:rPr>
              <w:lastRenderedPageBreak/>
              <w:t>Articulo 420. Hechos sobre los que recae el impuesto</w:t>
            </w:r>
            <w:r w:rsidRPr="0087796B">
              <w:rPr>
                <w:rFonts w:ascii="Cambria" w:hAnsi="Cambria"/>
                <w:b/>
                <w:bCs/>
                <w:color w:val="BE9E55"/>
                <w:sz w:val="20"/>
                <w:szCs w:val="20"/>
              </w:rPr>
              <w:t>.</w:t>
            </w:r>
            <w:r w:rsidRPr="0087796B">
              <w:rPr>
                <w:rFonts w:ascii="Cambria" w:hAnsi="Cambria"/>
                <w:sz w:val="20"/>
                <w:szCs w:val="20"/>
              </w:rPr>
              <w:t>  El impuesto a las ventas se aplicará sobre:</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a) La venta de bienes corporales muebles </w:t>
            </w:r>
            <w:r w:rsidRPr="0087796B">
              <w:rPr>
                <w:rFonts w:ascii="Cambria" w:hAnsi="Cambria"/>
                <w:sz w:val="20"/>
                <w:szCs w:val="20"/>
                <w:highlight w:val="yellow"/>
              </w:rPr>
              <w:t>e inmuebles</w:t>
            </w:r>
            <w:r w:rsidRPr="0087796B">
              <w:rPr>
                <w:rFonts w:ascii="Cambria" w:hAnsi="Cambria"/>
                <w:sz w:val="20"/>
                <w:szCs w:val="20"/>
              </w:rPr>
              <w:t xml:space="preserve">, </w:t>
            </w:r>
            <w:r w:rsidRPr="0087796B">
              <w:rPr>
                <w:rFonts w:ascii="Cambria" w:hAnsi="Cambria"/>
                <w:sz w:val="20"/>
                <w:szCs w:val="20"/>
                <w:highlight w:val="yellow"/>
              </w:rPr>
              <w:t>con excepción de los expresamente excluidos;</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b) La venta o cesiones de derechos sobre activos intangibles, únicamente asociados con la propiedad industrial;</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c) La prestación de servicios en el territorio nacional, o desde el exterior, con excepción de los expresamente excluidos;</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d) La importación de bienes corporales que no hayan sido excluidos expresamente;</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e) La circulación, venta u operación de juegos de suerte y azar, con excepción de las loterías </w:t>
            </w:r>
            <w:r w:rsidRPr="0087796B">
              <w:rPr>
                <w:rFonts w:ascii="Cambria" w:hAnsi="Cambria"/>
                <w:sz w:val="20"/>
                <w:szCs w:val="20"/>
                <w:highlight w:val="yellow"/>
              </w:rPr>
              <w:t>y de los juegos de suerte y azar operados exclusivamente por internet</w:t>
            </w:r>
            <w:r w:rsidRPr="0087796B">
              <w:rPr>
                <w:rFonts w:ascii="Cambria" w:hAnsi="Cambria"/>
                <w:sz w:val="20"/>
                <w:szCs w:val="20"/>
              </w:rPr>
              <w:t>.</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El impuesto a las ventas en los juegos de suerte y azar se causa en el momento de realización de la apuesta, expedición del documento, formulario, boleta o </w:t>
            </w:r>
            <w:r w:rsidRPr="0087796B">
              <w:rPr>
                <w:rFonts w:ascii="Cambria" w:hAnsi="Cambria"/>
                <w:sz w:val="20"/>
                <w:szCs w:val="20"/>
              </w:rPr>
              <w:lastRenderedPageBreak/>
              <w:t>instrumento que da derecho a participar en el juego. Es responsable del impuesto el operador del juego.</w:t>
            </w:r>
          </w:p>
          <w:p w:rsidR="0087796B" w:rsidRP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La base gravable del impuesto sobre las ventas en los juegos de suerte y azar estará constituida por el valor de la apuesta, y del documento, formulario, boleta, billete o instrumento que da derecho a participar en el juego. En el caso de los juegos localizados tales como las maquinitas o tragamonedas, la base gravable mensual está constituida por el valor correspondiente a </w:t>
            </w:r>
            <w:r>
              <w:rPr>
                <w:rFonts w:ascii="Cambria" w:hAnsi="Cambria"/>
                <w:sz w:val="20"/>
                <w:szCs w:val="20"/>
              </w:rPr>
              <w:t>veinte (</w:t>
            </w:r>
            <w:r w:rsidRPr="0087796B">
              <w:rPr>
                <w:rFonts w:ascii="Cambria" w:hAnsi="Cambria"/>
                <w:sz w:val="20"/>
                <w:szCs w:val="20"/>
              </w:rPr>
              <w:t>20</w:t>
            </w:r>
            <w:r>
              <w:rPr>
                <w:rFonts w:ascii="Cambria" w:hAnsi="Cambria"/>
                <w:sz w:val="20"/>
                <w:szCs w:val="20"/>
              </w:rPr>
              <w:t>)</w:t>
            </w:r>
            <w:r w:rsidRPr="0087796B">
              <w:rPr>
                <w:rFonts w:ascii="Cambria" w:hAnsi="Cambria"/>
                <w:sz w:val="20"/>
                <w:szCs w:val="20"/>
              </w:rPr>
              <w:t xml:space="preserve"> Unidades de Valor Tributario (UVT) y la de las mesas de juegos estará constituida por el valor correspondiente a </w:t>
            </w:r>
            <w:r>
              <w:rPr>
                <w:rFonts w:ascii="Cambria" w:hAnsi="Cambria"/>
                <w:sz w:val="20"/>
                <w:szCs w:val="20"/>
              </w:rPr>
              <w:t>doscientas noventa (</w:t>
            </w:r>
            <w:r w:rsidRPr="0087796B">
              <w:rPr>
                <w:rFonts w:ascii="Cambria" w:hAnsi="Cambria"/>
                <w:sz w:val="20"/>
                <w:szCs w:val="20"/>
              </w:rPr>
              <w:t>290</w:t>
            </w:r>
            <w:r>
              <w:rPr>
                <w:rFonts w:ascii="Cambria" w:hAnsi="Cambria"/>
                <w:sz w:val="20"/>
                <w:szCs w:val="20"/>
              </w:rPr>
              <w:t>)</w:t>
            </w:r>
            <w:r w:rsidRPr="0087796B">
              <w:rPr>
                <w:rFonts w:ascii="Cambria" w:hAnsi="Cambria"/>
                <w:sz w:val="20"/>
                <w:szCs w:val="20"/>
              </w:rPr>
              <w:t xml:space="preserve"> Unidades de Valor Tributario (UVT). En el caso de las máquinas electrónicas tragamonedas que operan en locales cuya actividad comercial principal puede ser diferente a juegos de suerte y azar, la base gravable está constituida por el valor correspondiente a </w:t>
            </w:r>
            <w:r>
              <w:rPr>
                <w:rFonts w:ascii="Cambria" w:hAnsi="Cambria"/>
                <w:sz w:val="20"/>
                <w:szCs w:val="20"/>
              </w:rPr>
              <w:t>diez (</w:t>
            </w:r>
            <w:r w:rsidRPr="0087796B">
              <w:rPr>
                <w:rFonts w:ascii="Cambria" w:hAnsi="Cambria"/>
                <w:sz w:val="20"/>
                <w:szCs w:val="20"/>
              </w:rPr>
              <w:t>10</w:t>
            </w:r>
            <w:r>
              <w:rPr>
                <w:rFonts w:ascii="Cambria" w:hAnsi="Cambria"/>
                <w:sz w:val="20"/>
                <w:szCs w:val="20"/>
              </w:rPr>
              <w:t>)</w:t>
            </w:r>
            <w:r w:rsidRPr="0087796B">
              <w:rPr>
                <w:rFonts w:ascii="Cambria" w:hAnsi="Cambria"/>
                <w:sz w:val="20"/>
                <w:szCs w:val="20"/>
              </w:rPr>
              <w:t xml:space="preserve"> Unidades de Valor Tributario (UVT). En el caso de los juegos de bingo, la base gravable mensual está constituida por el valor correspondiente a </w:t>
            </w:r>
            <w:r>
              <w:rPr>
                <w:rFonts w:ascii="Cambria" w:hAnsi="Cambria"/>
                <w:sz w:val="20"/>
                <w:szCs w:val="20"/>
              </w:rPr>
              <w:t>tres (</w:t>
            </w:r>
            <w:r w:rsidRPr="0087796B">
              <w:rPr>
                <w:rFonts w:ascii="Cambria" w:hAnsi="Cambria"/>
                <w:sz w:val="20"/>
                <w:szCs w:val="20"/>
              </w:rPr>
              <w:t>3</w:t>
            </w:r>
            <w:r>
              <w:rPr>
                <w:rFonts w:ascii="Cambria" w:hAnsi="Cambria"/>
                <w:sz w:val="20"/>
                <w:szCs w:val="20"/>
              </w:rPr>
              <w:t>)</w:t>
            </w:r>
            <w:r w:rsidRPr="0087796B">
              <w:rPr>
                <w:rFonts w:ascii="Cambria" w:hAnsi="Cambria"/>
                <w:sz w:val="20"/>
                <w:szCs w:val="20"/>
              </w:rPr>
              <w:t xml:space="preserve"> Unidades de Valor Tributario (UVT) por cada silla. Para los demás juegos localizados señalados en el numeral 5 del artículo 34 de la Ley 643 de 2001, la base gravable mensual será el valor correspondiente a </w:t>
            </w:r>
            <w:r>
              <w:rPr>
                <w:rFonts w:ascii="Cambria" w:hAnsi="Cambria"/>
                <w:sz w:val="20"/>
                <w:szCs w:val="20"/>
              </w:rPr>
              <w:t>diez (</w:t>
            </w:r>
            <w:r w:rsidRPr="0087796B">
              <w:rPr>
                <w:rFonts w:ascii="Cambria" w:hAnsi="Cambria"/>
                <w:sz w:val="20"/>
                <w:szCs w:val="20"/>
              </w:rPr>
              <w:t>10</w:t>
            </w:r>
            <w:r>
              <w:rPr>
                <w:rFonts w:ascii="Cambria" w:hAnsi="Cambria"/>
                <w:sz w:val="20"/>
                <w:szCs w:val="20"/>
              </w:rPr>
              <w:t>)</w:t>
            </w:r>
            <w:r w:rsidRPr="0087796B">
              <w:rPr>
                <w:rFonts w:ascii="Cambria" w:hAnsi="Cambria"/>
                <w:sz w:val="20"/>
                <w:szCs w:val="20"/>
              </w:rPr>
              <w:t xml:space="preserve"> Unidades de Valor Tributario (UVT).</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En los juegos de suerte y azar se aplicará la tarifa general del impuesto sobre las ventas prevista en este estatuto.</w:t>
            </w: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Son documentos equivalentes a la factura en los juegos de suerte y azar, la boleta, el formulario, billete o documento que da derecho a participar en el juego. </w:t>
            </w:r>
            <w:r w:rsidRPr="0087796B">
              <w:rPr>
                <w:rFonts w:ascii="Cambria" w:hAnsi="Cambria"/>
                <w:sz w:val="20"/>
                <w:szCs w:val="20"/>
              </w:rPr>
              <w:lastRenderedPageBreak/>
              <w:t>Cuando para participar en el juego no se requiera documento, se deberá expedir factura o documento equivalente. El valor del impuesto sobre las ventas a cargo del responsable no forma parte del valor de la apuesta.</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El impuesto generado por concepto de juegos de suerte y azar se afectará con impuestos descontables.</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1o.</w:t>
            </w:r>
            <w:r w:rsidRPr="0087796B">
              <w:rPr>
                <w:rFonts w:ascii="Cambria" w:hAnsi="Cambria"/>
                <w:sz w:val="20"/>
                <w:szCs w:val="20"/>
              </w:rPr>
              <w:t> El impuesto no se aplicará a las ventas de activos fijos, salvo que se trate de las excepciones previstas para los bienes inmuebles de uso residencial, automotores y demás activos fijos que se vendan habitualmente a nombre y por cuenta de terceros y para los aerodinos.</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2o.</w:t>
            </w:r>
            <w:r w:rsidRPr="0087796B">
              <w:rPr>
                <w:rFonts w:ascii="Cambria" w:hAnsi="Cambria"/>
                <w:sz w:val="20"/>
                <w:szCs w:val="20"/>
              </w:rPr>
              <w:t> Para la prestación de servicios en el territorio nacional se aplicarán las siguientes reglas:</w:t>
            </w:r>
          </w:p>
          <w:p w:rsidR="0087796B" w:rsidRPr="0087796B" w:rsidRDefault="0087796B" w:rsidP="0087796B">
            <w:pPr>
              <w:jc w:val="both"/>
              <w:rPr>
                <w:rFonts w:ascii="Cambria" w:hAnsi="Cambria"/>
                <w:sz w:val="20"/>
                <w:szCs w:val="20"/>
              </w:rPr>
            </w:pPr>
            <w:r w:rsidRPr="0087796B">
              <w:rPr>
                <w:rFonts w:ascii="Cambria" w:hAnsi="Cambria"/>
                <w:sz w:val="20"/>
                <w:szCs w:val="20"/>
              </w:rPr>
              <w:t>1. Los servicios relacionados con bienes inmuebles se entenderán prestados en el lugar de su ubicación.</w:t>
            </w:r>
          </w:p>
          <w:p w:rsidR="0087796B" w:rsidRPr="0087796B" w:rsidRDefault="0087796B" w:rsidP="0087796B">
            <w:pPr>
              <w:jc w:val="both"/>
              <w:rPr>
                <w:rFonts w:ascii="Cambria" w:hAnsi="Cambria"/>
                <w:sz w:val="20"/>
                <w:szCs w:val="20"/>
              </w:rPr>
            </w:pPr>
            <w:r w:rsidRPr="0087796B">
              <w:rPr>
                <w:rFonts w:ascii="Cambria" w:hAnsi="Cambria"/>
                <w:sz w:val="20"/>
                <w:szCs w:val="20"/>
              </w:rPr>
              <w:t>2. Los siguientes servicios se entenderán prestados en el lugar donde se realicen materialmente:</w:t>
            </w:r>
          </w:p>
          <w:p w:rsidR="0087796B" w:rsidRPr="0087796B" w:rsidRDefault="0087796B" w:rsidP="0087796B">
            <w:pPr>
              <w:jc w:val="both"/>
              <w:rPr>
                <w:rFonts w:ascii="Cambria" w:hAnsi="Cambria"/>
                <w:sz w:val="20"/>
                <w:szCs w:val="20"/>
              </w:rPr>
            </w:pPr>
            <w:r w:rsidRPr="0087796B">
              <w:rPr>
                <w:rFonts w:ascii="Cambria" w:hAnsi="Cambria"/>
                <w:sz w:val="20"/>
                <w:szCs w:val="20"/>
              </w:rPr>
              <w:t>a) Los de carácter cultural, artístico, así como los relativos a la organización de los mismos.</w:t>
            </w:r>
          </w:p>
          <w:p w:rsidR="0087796B" w:rsidRPr="0087796B" w:rsidRDefault="0087796B" w:rsidP="0087796B">
            <w:pPr>
              <w:jc w:val="both"/>
              <w:rPr>
                <w:rFonts w:ascii="Cambria" w:hAnsi="Cambria"/>
                <w:sz w:val="20"/>
                <w:szCs w:val="20"/>
              </w:rPr>
            </w:pPr>
            <w:r w:rsidRPr="0087796B">
              <w:rPr>
                <w:rFonts w:ascii="Cambria" w:hAnsi="Cambria"/>
                <w:sz w:val="20"/>
                <w:szCs w:val="20"/>
              </w:rPr>
              <w:t>b) Los de carga y descarga, trasbordo y almacenaje.</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3o.</w:t>
            </w:r>
            <w:r w:rsidRPr="0087796B">
              <w:rPr>
                <w:rFonts w:ascii="Cambria" w:hAnsi="Cambria"/>
                <w:sz w:val="20"/>
                <w:szCs w:val="20"/>
              </w:rPr>
              <w:t> Para efectos del impuesto sobre las ventas, los servicios prestados y los intangibles adquiridos o licenciados desde el exterior se entenderán prestados, licenciados o adquiridos en el territorio nacional y causarán el respectivo impuesto cuando el usuario directo o destinatario de los mismos tenga su residencia fiscal, domicilio, establecimiento permanente, o la sede de su actividad económica en el territorio nacional.</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4o.</w:t>
            </w:r>
            <w:r w:rsidRPr="0087796B">
              <w:rPr>
                <w:rFonts w:ascii="Cambria" w:hAnsi="Cambria"/>
                <w:sz w:val="20"/>
                <w:szCs w:val="20"/>
              </w:rPr>
              <w:t> Lo dispuesto en el presente artículo no será aplicable a los servicios de reparación y mantenimiento en naves y aeronaves prestados en el exterior, así como a los arrendamientos de naves, aeronaves y demás bienes muebles destinados al servicio de transporte internacional, por empresas dedicadas a esa actividad.</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5o.</w:t>
            </w:r>
            <w:r w:rsidRPr="0087796B">
              <w:rPr>
                <w:rFonts w:ascii="Cambria" w:hAnsi="Cambria"/>
                <w:sz w:val="20"/>
                <w:szCs w:val="20"/>
              </w:rPr>
              <w:t> La venta e importación de cigarrillos y tabaco elaborado, nacional y extranjero, estará gravada a la tarifa general. El impuesto generado por estos conceptos, dará derecho a impuestos descontables en los términos del artículo </w:t>
            </w:r>
            <w:hyperlink r:id="rId50" w:anchor="485" w:history="1">
              <w:r w:rsidRPr="0087796B">
                <w:rPr>
                  <w:rFonts w:ascii="Cambria" w:hAnsi="Cambria"/>
                  <w:color w:val="0073FF"/>
                  <w:sz w:val="20"/>
                  <w:szCs w:val="20"/>
                </w:rPr>
                <w:t>485</w:t>
              </w:r>
            </w:hyperlink>
            <w:r w:rsidRPr="0087796B">
              <w:rPr>
                <w:rFonts w:ascii="Cambria" w:hAnsi="Cambria"/>
                <w:sz w:val="20"/>
                <w:szCs w:val="20"/>
              </w:rPr>
              <w:t> de este estatuto.</w:t>
            </w:r>
          </w:p>
          <w:p w:rsidR="0087796B" w:rsidRPr="0087796B" w:rsidRDefault="0087796B" w:rsidP="0087796B">
            <w:pPr>
              <w:jc w:val="both"/>
              <w:rPr>
                <w:rFonts w:ascii="Cambria" w:hAnsi="Cambria" w:cs="Arial"/>
                <w:color w:val="4B4949"/>
                <w:sz w:val="20"/>
                <w:szCs w:val="20"/>
              </w:rPr>
            </w:pPr>
          </w:p>
        </w:tc>
        <w:tc>
          <w:tcPr>
            <w:tcW w:w="4865" w:type="dxa"/>
          </w:tcPr>
          <w:p w:rsidR="0087796B" w:rsidRPr="0087796B" w:rsidRDefault="0087796B" w:rsidP="0087796B">
            <w:pPr>
              <w:jc w:val="both"/>
              <w:rPr>
                <w:rFonts w:ascii="Cambria" w:hAnsi="Cambria"/>
                <w:sz w:val="20"/>
                <w:szCs w:val="20"/>
              </w:rPr>
            </w:pPr>
            <w:r w:rsidRPr="0087796B">
              <w:rPr>
                <w:rFonts w:ascii="Cambria" w:hAnsi="Cambria"/>
                <w:b/>
                <w:bCs/>
                <w:color w:val="000000" w:themeColor="text1"/>
                <w:sz w:val="20"/>
                <w:szCs w:val="20"/>
              </w:rPr>
              <w:lastRenderedPageBreak/>
              <w:t>Articulo 420. Hechos sobre los que recae el impuesto</w:t>
            </w:r>
            <w:r>
              <w:rPr>
                <w:rFonts w:ascii="Cambria" w:hAnsi="Cambria"/>
                <w:b/>
                <w:bCs/>
                <w:color w:val="000000" w:themeColor="text1"/>
                <w:sz w:val="20"/>
                <w:szCs w:val="20"/>
              </w:rPr>
              <w:t xml:space="preserve"> (</w:t>
            </w:r>
            <w:r w:rsidRPr="0087796B">
              <w:rPr>
                <w:rFonts w:ascii="Cambria" w:hAnsi="Cambria"/>
                <w:b/>
                <w:bCs/>
                <w:color w:val="FF0000"/>
                <w:sz w:val="20"/>
                <w:szCs w:val="20"/>
              </w:rPr>
              <w:t xml:space="preserve">modificado con artículo 2 del proyecto de </w:t>
            </w:r>
            <w:r w:rsidR="00FB60A2">
              <w:rPr>
                <w:rFonts w:ascii="Cambria" w:hAnsi="Cambria"/>
                <w:b/>
                <w:bCs/>
                <w:color w:val="FF0000"/>
                <w:sz w:val="20"/>
                <w:szCs w:val="20"/>
              </w:rPr>
              <w:t>Ley de septiembre de 2025</w:t>
            </w:r>
            <w:r w:rsidRPr="0087796B">
              <w:rPr>
                <w:rFonts w:ascii="Cambria" w:hAnsi="Cambria"/>
                <w:b/>
                <w:bCs/>
                <w:color w:val="FF0000"/>
                <w:sz w:val="20"/>
                <w:szCs w:val="20"/>
              </w:rPr>
              <w:t>).</w:t>
            </w:r>
            <w:r w:rsidRPr="0087796B">
              <w:rPr>
                <w:rFonts w:ascii="Cambria" w:hAnsi="Cambria"/>
                <w:color w:val="FF0000"/>
                <w:sz w:val="20"/>
                <w:szCs w:val="20"/>
              </w:rPr>
              <w:t xml:space="preserve">  </w:t>
            </w:r>
            <w:r w:rsidRPr="0087796B">
              <w:rPr>
                <w:rFonts w:ascii="Cambria" w:hAnsi="Cambria"/>
                <w:sz w:val="20"/>
                <w:szCs w:val="20"/>
              </w:rPr>
              <w:t>El impuesto a las ventas se aplicará sobre:</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a) La venta de bienes corporales muebles </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r w:rsidRPr="0087796B">
              <w:rPr>
                <w:rFonts w:ascii="Cambria" w:hAnsi="Cambria"/>
                <w:sz w:val="20"/>
                <w:szCs w:val="20"/>
              </w:rPr>
              <w:t>b) La venta o cesiones de derechos sobre</w:t>
            </w:r>
            <w:r>
              <w:rPr>
                <w:rFonts w:ascii="Cambria" w:hAnsi="Cambria"/>
                <w:sz w:val="20"/>
                <w:szCs w:val="20"/>
              </w:rPr>
              <w:t>:</w:t>
            </w:r>
            <w:r w:rsidRPr="0087796B">
              <w:rPr>
                <w:rFonts w:ascii="Cambria" w:hAnsi="Cambria"/>
                <w:sz w:val="20"/>
                <w:szCs w:val="20"/>
              </w:rPr>
              <w:t xml:space="preserve"> </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rPr>
            </w:pPr>
            <w:r>
              <w:rPr>
                <w:rFonts w:ascii="Cambria" w:hAnsi="Cambria"/>
                <w:sz w:val="20"/>
                <w:szCs w:val="20"/>
              </w:rPr>
              <w:t xml:space="preserve">1) </w:t>
            </w:r>
            <w:r w:rsidRPr="0087796B">
              <w:rPr>
                <w:rFonts w:ascii="Cambria" w:hAnsi="Cambria"/>
                <w:sz w:val="20"/>
                <w:szCs w:val="20"/>
              </w:rPr>
              <w:t>activos intangibles, únicamente asociados con la propiedad industrial;</w:t>
            </w: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Pr>
                <w:rFonts w:ascii="Cambria" w:hAnsi="Cambria"/>
                <w:sz w:val="20"/>
                <w:szCs w:val="20"/>
              </w:rPr>
              <w:t>2)</w:t>
            </w:r>
            <w:r w:rsidRPr="0087796B">
              <w:rPr>
                <w:rFonts w:ascii="Cambria" w:hAnsi="Cambria"/>
                <w:sz w:val="20"/>
                <w:szCs w:val="20"/>
                <w:highlight w:val="yellow"/>
              </w:rPr>
              <w:t>Membresías o derecho de ingreso</w:t>
            </w: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Pr>
                <w:rFonts w:ascii="Cambria" w:hAnsi="Cambria"/>
                <w:sz w:val="20"/>
                <w:szCs w:val="20"/>
              </w:rPr>
              <w:t xml:space="preserve">c) </w:t>
            </w:r>
            <w:r w:rsidRPr="0087796B">
              <w:rPr>
                <w:rFonts w:ascii="Cambria" w:hAnsi="Cambria"/>
                <w:sz w:val="20"/>
                <w:szCs w:val="20"/>
              </w:rPr>
              <w:t>La prestación de servicios en el territorio nacional, o desde el exterior, con excepción de los expresamente excluidos;</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d) La importación de bienes corporales que no hayan sido excluidos expresamente;</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e) La circulación, venta u operación de juegos de suerte y azar, con excepción de las loterías.</w:t>
            </w:r>
          </w:p>
          <w:p w:rsid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p>
          <w:p w:rsidR="0087796B" w:rsidRPr="00923403" w:rsidRDefault="0087796B" w:rsidP="00923403">
            <w:pPr>
              <w:pStyle w:val="Default"/>
              <w:jc w:val="both"/>
            </w:pPr>
            <w:r w:rsidRPr="0087796B">
              <w:rPr>
                <w:rFonts w:ascii="Cambria" w:hAnsi="Cambria"/>
                <w:sz w:val="20"/>
                <w:szCs w:val="20"/>
              </w:rPr>
              <w:t>El impuesto a las ventas en los juegos de suerte y azar se causa en el momento de realización de la apuesta, expedición del documento, formulario, boleta o instrumento que da derecho a participar en el juego.</w:t>
            </w:r>
            <w:r>
              <w:rPr>
                <w:rFonts w:ascii="Cambria" w:hAnsi="Cambria"/>
                <w:sz w:val="20"/>
                <w:szCs w:val="20"/>
              </w:rPr>
              <w:t xml:space="preserve"> </w:t>
            </w:r>
            <w:r w:rsidRPr="0087796B">
              <w:rPr>
                <w:rFonts w:ascii="Cambria" w:hAnsi="Cambria"/>
                <w:sz w:val="20"/>
                <w:szCs w:val="20"/>
                <w:highlight w:val="yellow"/>
              </w:rPr>
              <w:lastRenderedPageBreak/>
              <w:t xml:space="preserve">Así mismo se causa cuando el usuario directo o destinatario de los mismos tenga su residencia fiscal, domicilio, establecimiento permanente, o la sede de su actividad económica en el territorio nacional. </w:t>
            </w:r>
            <w:r w:rsidRPr="0087796B">
              <w:rPr>
                <w:rFonts w:ascii="Cambria" w:hAnsi="Cambria"/>
                <w:sz w:val="20"/>
                <w:szCs w:val="20"/>
              </w:rPr>
              <w:t>Es responsable del impuesto el operador del juego</w:t>
            </w:r>
            <w:r w:rsidRPr="0087796B">
              <w:rPr>
                <w:rFonts w:ascii="Cambria" w:hAnsi="Cambria"/>
                <w:sz w:val="20"/>
                <w:szCs w:val="20"/>
                <w:highlight w:val="yellow"/>
              </w:rPr>
              <w:t>, así opere desde el exterior.</w:t>
            </w:r>
            <w:r w:rsidRPr="0087796B">
              <w:rPr>
                <w:rFonts w:ascii="Cambria" w:hAnsi="Cambria"/>
                <w:sz w:val="20"/>
                <w:szCs w:val="20"/>
              </w:rPr>
              <w:t xml:space="preserve"> </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La base gravable del impuesto sobre las ventas en los juegos de suerte y azar estará constituida por el valor de la apuesta, y del documento, formulario, boleta, billete o instrumento que da derecho a participar en el juego. En el caso de los juegos localizados tales como las maquinitas o tragamonedas, la base gravable mensual está constituida por el valor correspondiente a </w:t>
            </w:r>
            <w:r>
              <w:rPr>
                <w:rFonts w:ascii="Cambria" w:hAnsi="Cambria"/>
                <w:sz w:val="20"/>
                <w:szCs w:val="20"/>
              </w:rPr>
              <w:t>veinte (2</w:t>
            </w:r>
            <w:r w:rsidRPr="0087796B">
              <w:rPr>
                <w:rFonts w:ascii="Cambria" w:hAnsi="Cambria"/>
                <w:sz w:val="20"/>
                <w:szCs w:val="20"/>
              </w:rPr>
              <w:t>0</w:t>
            </w:r>
            <w:r>
              <w:rPr>
                <w:rFonts w:ascii="Cambria" w:hAnsi="Cambria"/>
                <w:sz w:val="20"/>
                <w:szCs w:val="20"/>
              </w:rPr>
              <w:t>)</w:t>
            </w:r>
            <w:r w:rsidRPr="0087796B">
              <w:rPr>
                <w:rFonts w:ascii="Cambria" w:hAnsi="Cambria"/>
                <w:sz w:val="20"/>
                <w:szCs w:val="20"/>
              </w:rPr>
              <w:t xml:space="preserve"> Unidades de Valor Tributario (UVT) y la de las mesas de juegos estará constituida por el valor correspondiente a </w:t>
            </w:r>
            <w:r>
              <w:rPr>
                <w:rFonts w:ascii="Cambria" w:hAnsi="Cambria"/>
                <w:sz w:val="20"/>
                <w:szCs w:val="20"/>
              </w:rPr>
              <w:t>doscientas noventa (</w:t>
            </w:r>
            <w:r w:rsidRPr="0087796B">
              <w:rPr>
                <w:rFonts w:ascii="Cambria" w:hAnsi="Cambria"/>
                <w:sz w:val="20"/>
                <w:szCs w:val="20"/>
              </w:rPr>
              <w:t>290</w:t>
            </w:r>
            <w:r>
              <w:rPr>
                <w:rFonts w:ascii="Cambria" w:hAnsi="Cambria"/>
                <w:sz w:val="20"/>
                <w:szCs w:val="20"/>
              </w:rPr>
              <w:t>)</w:t>
            </w:r>
            <w:r w:rsidRPr="0087796B">
              <w:rPr>
                <w:rFonts w:ascii="Cambria" w:hAnsi="Cambria"/>
                <w:sz w:val="20"/>
                <w:szCs w:val="20"/>
              </w:rPr>
              <w:t xml:space="preserve"> Unidades de Valor Tributario (UVT). En el caso de las máquinas electrónicas tragamonedas que operan en locales cuya actividad comercial principal puede ser diferente a juegos de suerte y azar, la base gravable está constituida por el valor correspondiente a </w:t>
            </w:r>
            <w:r>
              <w:rPr>
                <w:rFonts w:ascii="Cambria" w:hAnsi="Cambria"/>
                <w:sz w:val="20"/>
                <w:szCs w:val="20"/>
              </w:rPr>
              <w:t>diez (</w:t>
            </w:r>
            <w:r w:rsidRPr="0087796B">
              <w:rPr>
                <w:rFonts w:ascii="Cambria" w:hAnsi="Cambria"/>
                <w:sz w:val="20"/>
                <w:szCs w:val="20"/>
              </w:rPr>
              <w:t>10</w:t>
            </w:r>
            <w:r>
              <w:rPr>
                <w:rFonts w:ascii="Cambria" w:hAnsi="Cambria"/>
                <w:sz w:val="20"/>
                <w:szCs w:val="20"/>
              </w:rPr>
              <w:t>)</w:t>
            </w:r>
            <w:r w:rsidRPr="0087796B">
              <w:rPr>
                <w:rFonts w:ascii="Cambria" w:hAnsi="Cambria"/>
                <w:sz w:val="20"/>
                <w:szCs w:val="20"/>
              </w:rPr>
              <w:t xml:space="preserve"> Unidades de Valor Tributario (UVT). En el caso de los juegos de bingo, la base gravable mensual está constituida por el valor correspondiente a </w:t>
            </w:r>
            <w:r>
              <w:rPr>
                <w:rFonts w:ascii="Cambria" w:hAnsi="Cambria"/>
                <w:sz w:val="20"/>
                <w:szCs w:val="20"/>
              </w:rPr>
              <w:t>tres (</w:t>
            </w:r>
            <w:r w:rsidRPr="0087796B">
              <w:rPr>
                <w:rFonts w:ascii="Cambria" w:hAnsi="Cambria"/>
                <w:sz w:val="20"/>
                <w:szCs w:val="20"/>
              </w:rPr>
              <w:t>3</w:t>
            </w:r>
            <w:r>
              <w:rPr>
                <w:rFonts w:ascii="Cambria" w:hAnsi="Cambria"/>
                <w:sz w:val="20"/>
                <w:szCs w:val="20"/>
              </w:rPr>
              <w:t>)</w:t>
            </w:r>
            <w:r w:rsidRPr="0087796B">
              <w:rPr>
                <w:rFonts w:ascii="Cambria" w:hAnsi="Cambria"/>
                <w:sz w:val="20"/>
                <w:szCs w:val="20"/>
              </w:rPr>
              <w:t xml:space="preserve"> Unidades de Valor Tributario (UVT) por cada silla. Para los demás juegos localizados señalados en el numeral 5 del artículo 34 de la Ley 643 de 2001, la base gravable mensual será el valor correspondiente a </w:t>
            </w:r>
            <w:r>
              <w:rPr>
                <w:rFonts w:ascii="Cambria" w:hAnsi="Cambria"/>
                <w:sz w:val="20"/>
                <w:szCs w:val="20"/>
              </w:rPr>
              <w:t>diez (</w:t>
            </w:r>
            <w:r w:rsidRPr="0087796B">
              <w:rPr>
                <w:rFonts w:ascii="Cambria" w:hAnsi="Cambria"/>
                <w:sz w:val="20"/>
                <w:szCs w:val="20"/>
              </w:rPr>
              <w:t>10</w:t>
            </w:r>
            <w:r>
              <w:rPr>
                <w:rFonts w:ascii="Cambria" w:hAnsi="Cambria"/>
                <w:sz w:val="20"/>
                <w:szCs w:val="20"/>
              </w:rPr>
              <w:t>)</w:t>
            </w:r>
            <w:r w:rsidRPr="0087796B">
              <w:rPr>
                <w:rFonts w:ascii="Cambria" w:hAnsi="Cambria"/>
                <w:sz w:val="20"/>
                <w:szCs w:val="20"/>
              </w:rPr>
              <w:t xml:space="preserve"> Unidades de Valor Tributario (UVT).</w:t>
            </w:r>
          </w:p>
          <w:p w:rsidR="0087796B" w:rsidRDefault="0087796B" w:rsidP="0087796B">
            <w:pPr>
              <w:jc w:val="both"/>
              <w:rPr>
                <w:rFonts w:ascii="Cambria" w:hAnsi="Cambria"/>
                <w:sz w:val="20"/>
                <w:szCs w:val="20"/>
              </w:rPr>
            </w:pPr>
          </w:p>
          <w:p w:rsidR="0087796B" w:rsidRDefault="0087796B" w:rsidP="0087796B">
            <w:pPr>
              <w:jc w:val="both"/>
              <w:rPr>
                <w:rFonts w:ascii="Cambria" w:hAnsi="Cambria"/>
                <w:sz w:val="20"/>
                <w:szCs w:val="20"/>
                <w:highlight w:val="yellow"/>
              </w:rPr>
            </w:pPr>
            <w:r w:rsidRPr="0087796B">
              <w:rPr>
                <w:rFonts w:ascii="Cambria" w:hAnsi="Cambria"/>
                <w:sz w:val="20"/>
                <w:szCs w:val="20"/>
                <w:highlight w:val="yellow"/>
              </w:rPr>
              <w:t xml:space="preserve">La base gravable del impuesto para los juegos de suerte y azar operados exclusivamente por internet será el valor del depósito, entendido como el pago en efectivo o las transferencias de dinero o </w:t>
            </w:r>
            <w:proofErr w:type="spellStart"/>
            <w:r w:rsidRPr="0087796B">
              <w:rPr>
                <w:rFonts w:ascii="Cambria" w:hAnsi="Cambria"/>
                <w:sz w:val="20"/>
                <w:szCs w:val="20"/>
                <w:highlight w:val="yellow"/>
              </w:rPr>
              <w:t>criptoactivos</w:t>
            </w:r>
            <w:proofErr w:type="spellEnd"/>
            <w:r w:rsidRPr="0087796B">
              <w:rPr>
                <w:rFonts w:ascii="Cambria" w:hAnsi="Cambria"/>
                <w:sz w:val="20"/>
                <w:szCs w:val="20"/>
                <w:highlight w:val="yellow"/>
              </w:rPr>
              <w:t xml:space="preserve">, realizado por cada usuario apostador al operador de juegos de suerte y azar operados exclusivamente por internet, para ser abonados en su cuenta de usuario y obtener el derecho a apostar, determinada así: </w:t>
            </w:r>
          </w:p>
          <w:p w:rsidR="0087796B" w:rsidRDefault="0087796B" w:rsidP="0087796B">
            <w:pPr>
              <w:jc w:val="both"/>
              <w:rPr>
                <w:rFonts w:ascii="Cambria" w:hAnsi="Cambria"/>
                <w:sz w:val="20"/>
                <w:szCs w:val="20"/>
                <w:highlight w:val="yellow"/>
              </w:rPr>
            </w:pPr>
          </w:p>
          <w:p w:rsidR="0087796B" w:rsidRPr="0087796B" w:rsidRDefault="0087796B" w:rsidP="0087796B">
            <w:pPr>
              <w:jc w:val="both"/>
              <w:rPr>
                <w:rFonts w:ascii="Cambria" w:hAnsi="Cambria"/>
                <w:sz w:val="20"/>
                <w:szCs w:val="20"/>
                <w:highlight w:val="yellow"/>
              </w:rPr>
            </w:pPr>
            <w:r w:rsidRPr="0087796B">
              <w:rPr>
                <w:rFonts w:ascii="Cambria Math" w:hAnsi="Cambria Math" w:cs="Cambria Math"/>
                <w:sz w:val="20"/>
                <w:szCs w:val="20"/>
                <w:highlight w:val="yellow"/>
              </w:rPr>
              <w:t>𝐵𝑎𝑠𝑒</w:t>
            </w:r>
            <w:r w:rsidRPr="0087796B">
              <w:rPr>
                <w:rFonts w:ascii="Cambria" w:hAnsi="Cambria" w:cs="Cambria Math"/>
                <w:sz w:val="20"/>
                <w:szCs w:val="20"/>
                <w:highlight w:val="yellow"/>
              </w:rPr>
              <w:t xml:space="preserve"> </w:t>
            </w:r>
            <w:r w:rsidRPr="0087796B">
              <w:rPr>
                <w:rFonts w:ascii="Cambria Math" w:hAnsi="Cambria Math" w:cs="Cambria Math"/>
                <w:sz w:val="20"/>
                <w:szCs w:val="20"/>
                <w:highlight w:val="yellow"/>
              </w:rPr>
              <w:t>𝑔𝑟𝑎𝑣𝑎𝑏𝑙𝑒</w:t>
            </w:r>
            <w:r w:rsidRPr="0087796B">
              <w:rPr>
                <w:rFonts w:ascii="Cambria" w:hAnsi="Cambria" w:cs="Cambria Math"/>
                <w:sz w:val="20"/>
                <w:szCs w:val="20"/>
                <w:highlight w:val="yellow"/>
              </w:rPr>
              <w:t>=</w:t>
            </w:r>
            <w:r w:rsidRPr="0087796B">
              <w:rPr>
                <w:rFonts w:ascii="Cambria Math" w:hAnsi="Cambria Math" w:cs="Cambria Math"/>
                <w:sz w:val="20"/>
                <w:szCs w:val="20"/>
                <w:highlight w:val="yellow"/>
              </w:rPr>
              <w:t>𝑉𝑎𝑙𝑜𝑟</w:t>
            </w:r>
            <w:r w:rsidRPr="0087796B">
              <w:rPr>
                <w:rFonts w:ascii="Cambria" w:hAnsi="Cambria" w:cs="Cambria Math"/>
                <w:sz w:val="20"/>
                <w:szCs w:val="20"/>
                <w:highlight w:val="yellow"/>
              </w:rPr>
              <w:t xml:space="preserve"> </w:t>
            </w:r>
            <w:r w:rsidRPr="0087796B">
              <w:rPr>
                <w:rFonts w:ascii="Cambria Math" w:hAnsi="Cambria Math" w:cs="Cambria Math"/>
                <w:sz w:val="20"/>
                <w:szCs w:val="20"/>
                <w:highlight w:val="yellow"/>
              </w:rPr>
              <w:t>𝑑𝑒𝑙</w:t>
            </w:r>
            <w:r w:rsidRPr="0087796B">
              <w:rPr>
                <w:rFonts w:ascii="Cambria" w:hAnsi="Cambria" w:cs="Cambria Math"/>
                <w:sz w:val="20"/>
                <w:szCs w:val="20"/>
                <w:highlight w:val="yellow"/>
              </w:rPr>
              <w:t xml:space="preserve"> </w:t>
            </w:r>
            <w:r w:rsidRPr="0087796B">
              <w:rPr>
                <w:rFonts w:ascii="Cambria Math" w:hAnsi="Cambria Math" w:cs="Cambria Math"/>
                <w:sz w:val="20"/>
                <w:szCs w:val="20"/>
                <w:highlight w:val="yellow"/>
              </w:rPr>
              <w:t>𝑑𝑒𝑝</w:t>
            </w:r>
            <w:proofErr w:type="spellStart"/>
            <w:r w:rsidRPr="0087796B">
              <w:rPr>
                <w:rFonts w:ascii="Cambria" w:hAnsi="Cambria" w:cs="Cambria Math"/>
                <w:sz w:val="20"/>
                <w:szCs w:val="20"/>
                <w:highlight w:val="yellow"/>
              </w:rPr>
              <w:t>ó</w:t>
            </w:r>
            <w:proofErr w:type="spellEnd"/>
            <w:r w:rsidRPr="0087796B">
              <w:rPr>
                <w:rFonts w:ascii="Cambria Math" w:hAnsi="Cambria Math" w:cs="Cambria Math"/>
                <w:sz w:val="20"/>
                <w:szCs w:val="20"/>
                <w:highlight w:val="yellow"/>
              </w:rPr>
              <w:t>𝑠𝑖𝑡𝑜</w:t>
            </w:r>
            <w:r>
              <w:rPr>
                <w:rFonts w:ascii="Cambria Math" w:hAnsi="Cambria Math" w:cs="Cambria Math"/>
                <w:sz w:val="20"/>
                <w:szCs w:val="20"/>
                <w:highlight w:val="yellow"/>
              </w:rPr>
              <w:t xml:space="preserve"> /</w:t>
            </w:r>
            <w:r w:rsidRPr="0087796B">
              <w:rPr>
                <w:rFonts w:ascii="Cambria" w:hAnsi="Cambria" w:cs="Cambria Math"/>
                <w:sz w:val="20"/>
                <w:szCs w:val="20"/>
                <w:highlight w:val="yellow"/>
              </w:rPr>
              <w:t xml:space="preserve"> (1+</w:t>
            </w:r>
            <w:r w:rsidRPr="0087796B">
              <w:rPr>
                <w:rFonts w:ascii="Cambria Math" w:hAnsi="Cambria Math" w:cs="Cambria Math"/>
                <w:sz w:val="20"/>
                <w:szCs w:val="20"/>
                <w:highlight w:val="yellow"/>
              </w:rPr>
              <w:t>𝑇𝑎𝑟𝑖𝑓𝑎</w:t>
            </w:r>
            <w:r w:rsidRPr="0087796B">
              <w:rPr>
                <w:rFonts w:ascii="Cambria" w:hAnsi="Cambria" w:cs="Cambria Math"/>
                <w:sz w:val="20"/>
                <w:szCs w:val="20"/>
                <w:highlight w:val="yellow"/>
              </w:rPr>
              <w:t xml:space="preserve"> </w:t>
            </w:r>
            <w:r w:rsidRPr="0087796B">
              <w:rPr>
                <w:rFonts w:ascii="Cambria Math" w:hAnsi="Cambria Math" w:cs="Cambria Math"/>
                <w:sz w:val="20"/>
                <w:szCs w:val="20"/>
                <w:highlight w:val="yellow"/>
              </w:rPr>
              <w:t>𝑔𝑒𝑛𝑒𝑟𝑎𝑙</w:t>
            </w:r>
            <w:r w:rsidRPr="0087796B">
              <w:rPr>
                <w:rFonts w:ascii="Cambria" w:hAnsi="Cambria" w:cs="Cambria Math"/>
                <w:sz w:val="20"/>
                <w:szCs w:val="20"/>
                <w:highlight w:val="yellow"/>
              </w:rPr>
              <w:t xml:space="preserve">) </w:t>
            </w:r>
          </w:p>
          <w:p w:rsidR="0087796B" w:rsidRDefault="0087796B" w:rsidP="0087796B">
            <w:pPr>
              <w:jc w:val="both"/>
              <w:rPr>
                <w:rFonts w:ascii="Cambria" w:hAnsi="Cambria"/>
                <w:sz w:val="20"/>
                <w:szCs w:val="20"/>
                <w:highlight w:val="yellow"/>
              </w:rPr>
            </w:pPr>
          </w:p>
          <w:p w:rsidR="0087796B" w:rsidRDefault="0087796B" w:rsidP="0087796B">
            <w:pPr>
              <w:jc w:val="both"/>
              <w:rPr>
                <w:rFonts w:ascii="Cambria" w:hAnsi="Cambria"/>
                <w:sz w:val="20"/>
                <w:szCs w:val="20"/>
              </w:rPr>
            </w:pPr>
            <w:r w:rsidRPr="0087796B">
              <w:rPr>
                <w:rFonts w:ascii="Cambria" w:hAnsi="Cambria"/>
                <w:sz w:val="20"/>
                <w:szCs w:val="20"/>
                <w:highlight w:val="yellow"/>
              </w:rPr>
              <w:t>Para efectos de esta fórmula, la tarifa general a incluir debe hacerse en notación decimal.</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En los juegos de suerte y azar se aplicará la tarifa general del impuesto sobre las ventas prevista en este estatuto.</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 xml:space="preserve">Son documentos equivalentes a la factura en los juegos de suerte y azar, la boleta, el formulario, billete o documento que da derecho a participar en el juego. Cuando para participar en el juego no se requiera </w:t>
            </w:r>
            <w:r w:rsidRPr="0087796B">
              <w:rPr>
                <w:rFonts w:ascii="Cambria" w:hAnsi="Cambria"/>
                <w:sz w:val="20"/>
                <w:szCs w:val="20"/>
              </w:rPr>
              <w:lastRenderedPageBreak/>
              <w:t>documento, se deberá expedir factura o documento equivalente. El valor del impuesto sobre las ventas a cargo del responsable no forma parte del valor de la apuesta.</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sz w:val="20"/>
                <w:szCs w:val="20"/>
              </w:rPr>
              <w:t>El impuesto generado por concepto de juegos de suerte y azar se afectará con impuestos descontables.</w:t>
            </w:r>
          </w:p>
          <w:p w:rsidR="0087796B" w:rsidRPr="0087796B" w:rsidRDefault="0087796B" w:rsidP="0087796B">
            <w:pPr>
              <w:jc w:val="both"/>
              <w:rPr>
                <w:rFonts w:ascii="Cambria" w:hAnsi="Cambria"/>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1o.</w:t>
            </w:r>
            <w:r w:rsidRPr="0087796B">
              <w:rPr>
                <w:rFonts w:ascii="Cambria" w:hAnsi="Cambria"/>
                <w:sz w:val="20"/>
                <w:szCs w:val="20"/>
              </w:rPr>
              <w:t> El impuesto no se aplicará a las ventas de activos fijos, salvo que se trate de las excepciones previstas para los bienes inmuebles de uso residencial, automotores y demás activos fijos que se vendan habitualmente a nombre y por cuenta de terceros y para los aerodinos.</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2o.</w:t>
            </w:r>
            <w:r w:rsidRPr="0087796B">
              <w:rPr>
                <w:rFonts w:ascii="Cambria" w:hAnsi="Cambria"/>
                <w:sz w:val="20"/>
                <w:szCs w:val="20"/>
              </w:rPr>
              <w:t> Para la prestación de servicios en el territorio nacional se aplicarán las siguientes reglas:</w:t>
            </w:r>
          </w:p>
          <w:p w:rsidR="0087796B" w:rsidRPr="0087796B" w:rsidRDefault="0087796B" w:rsidP="0087796B">
            <w:pPr>
              <w:jc w:val="both"/>
              <w:rPr>
                <w:rFonts w:ascii="Cambria" w:hAnsi="Cambria"/>
                <w:sz w:val="20"/>
                <w:szCs w:val="20"/>
              </w:rPr>
            </w:pPr>
            <w:r w:rsidRPr="0087796B">
              <w:rPr>
                <w:rFonts w:ascii="Cambria" w:hAnsi="Cambria"/>
                <w:sz w:val="20"/>
                <w:szCs w:val="20"/>
              </w:rPr>
              <w:t>1. Los servicios relacionados con bienes inmuebles se entenderán prestados en el lugar de su ubicación.</w:t>
            </w:r>
          </w:p>
          <w:p w:rsidR="0087796B" w:rsidRPr="0087796B" w:rsidRDefault="0087796B" w:rsidP="0087796B">
            <w:pPr>
              <w:jc w:val="both"/>
              <w:rPr>
                <w:rFonts w:ascii="Cambria" w:hAnsi="Cambria"/>
                <w:sz w:val="20"/>
                <w:szCs w:val="20"/>
              </w:rPr>
            </w:pPr>
            <w:r w:rsidRPr="0087796B">
              <w:rPr>
                <w:rFonts w:ascii="Cambria" w:hAnsi="Cambria"/>
                <w:sz w:val="20"/>
                <w:szCs w:val="20"/>
              </w:rPr>
              <w:t>2. Los siguientes servicios se entenderán prestados en el lugar donde se realicen materialmente:</w:t>
            </w:r>
          </w:p>
          <w:p w:rsidR="0087796B" w:rsidRPr="0087796B" w:rsidRDefault="0087796B" w:rsidP="0087796B">
            <w:pPr>
              <w:jc w:val="both"/>
              <w:rPr>
                <w:rFonts w:ascii="Cambria" w:hAnsi="Cambria"/>
                <w:sz w:val="20"/>
                <w:szCs w:val="20"/>
              </w:rPr>
            </w:pPr>
            <w:r w:rsidRPr="0087796B">
              <w:rPr>
                <w:rFonts w:ascii="Cambria" w:hAnsi="Cambria"/>
                <w:sz w:val="20"/>
                <w:szCs w:val="20"/>
              </w:rPr>
              <w:t>a) Los de carácter cultural, artístico, así como los relativos a la organización de los mismos.</w:t>
            </w:r>
          </w:p>
          <w:p w:rsidR="0087796B" w:rsidRPr="0087796B" w:rsidRDefault="0087796B" w:rsidP="0087796B">
            <w:pPr>
              <w:jc w:val="both"/>
              <w:rPr>
                <w:rFonts w:ascii="Cambria" w:hAnsi="Cambria"/>
                <w:sz w:val="20"/>
                <w:szCs w:val="20"/>
              </w:rPr>
            </w:pPr>
            <w:r w:rsidRPr="0087796B">
              <w:rPr>
                <w:rFonts w:ascii="Cambria" w:hAnsi="Cambria"/>
                <w:sz w:val="20"/>
                <w:szCs w:val="20"/>
              </w:rPr>
              <w:t>b) Los de carga y descarga, trasbordo y almacenaje.</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3o.</w:t>
            </w:r>
            <w:r w:rsidRPr="0087796B">
              <w:rPr>
                <w:rFonts w:ascii="Cambria" w:hAnsi="Cambria"/>
                <w:sz w:val="20"/>
                <w:szCs w:val="20"/>
              </w:rPr>
              <w:t> Para efectos del impuesto sobre las ventas, los servicios prestados y los intangibles adquiridos o licenciados desde el exterior se entenderán prestados, licenciados o adquiridos en el territorio nacional y causarán el respectivo impuesto cuando el usuario directo o destinatario de los mismos tenga su residencia fiscal, domicilio, establecimiento permanente, o la sede de su actividad económica en el territorio nacional.</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4o.</w:t>
            </w:r>
            <w:r w:rsidRPr="0087796B">
              <w:rPr>
                <w:rFonts w:ascii="Cambria" w:hAnsi="Cambria"/>
                <w:sz w:val="20"/>
                <w:szCs w:val="20"/>
              </w:rPr>
              <w:t> Lo dispuesto en el presente artículo no será aplicable a los servicios de reparación y mantenimiento en naves y aeronaves prestados en el exterior, así como a los arrendamientos de naves, aeronaves y demás bienes muebles destinados al servicio de transporte internacional, por empresas dedicadas a esa actividad.</w:t>
            </w: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b/>
                <w:bCs/>
                <w:color w:val="000000"/>
                <w:sz w:val="20"/>
                <w:szCs w:val="20"/>
              </w:rPr>
            </w:pPr>
          </w:p>
          <w:p w:rsidR="0087796B" w:rsidRPr="0087796B" w:rsidRDefault="0087796B" w:rsidP="0087796B">
            <w:pPr>
              <w:jc w:val="both"/>
              <w:rPr>
                <w:rFonts w:ascii="Cambria" w:hAnsi="Cambria"/>
                <w:sz w:val="20"/>
                <w:szCs w:val="20"/>
              </w:rPr>
            </w:pPr>
            <w:r w:rsidRPr="0087796B">
              <w:rPr>
                <w:rFonts w:ascii="Cambria" w:hAnsi="Cambria"/>
                <w:b/>
                <w:bCs/>
                <w:color w:val="000000"/>
                <w:sz w:val="20"/>
                <w:szCs w:val="20"/>
              </w:rPr>
              <w:t>PARÁGRAFO 5o.</w:t>
            </w:r>
            <w:r w:rsidRPr="0087796B">
              <w:rPr>
                <w:rFonts w:ascii="Cambria" w:hAnsi="Cambria"/>
                <w:sz w:val="20"/>
                <w:szCs w:val="20"/>
              </w:rPr>
              <w:t> La venta e importación de cigarrillos y tabaco elaborado, nacional y extranjero, estará gravada a la tarifa general. El impuesto generado por estos conceptos, dará derecho a impuestos descontables en los términos del artículo </w:t>
            </w:r>
            <w:hyperlink r:id="rId51" w:anchor="485" w:history="1">
              <w:r w:rsidRPr="0087796B">
                <w:rPr>
                  <w:rFonts w:ascii="Cambria" w:hAnsi="Cambria"/>
                  <w:color w:val="0073FF"/>
                  <w:sz w:val="20"/>
                  <w:szCs w:val="20"/>
                </w:rPr>
                <w:t>485</w:t>
              </w:r>
            </w:hyperlink>
            <w:r w:rsidRPr="0087796B">
              <w:rPr>
                <w:rFonts w:ascii="Cambria" w:hAnsi="Cambria"/>
                <w:sz w:val="20"/>
                <w:szCs w:val="20"/>
              </w:rPr>
              <w:t> de este estatuto.</w:t>
            </w:r>
          </w:p>
          <w:p w:rsidR="0087796B" w:rsidRPr="0087796B" w:rsidRDefault="0087796B" w:rsidP="0087796B">
            <w:pPr>
              <w:jc w:val="both"/>
              <w:rPr>
                <w:rFonts w:ascii="Cambria" w:hAnsi="Cambria" w:cs="Arial"/>
                <w:color w:val="4B4949"/>
                <w:sz w:val="20"/>
                <w:szCs w:val="20"/>
              </w:rPr>
            </w:pPr>
          </w:p>
        </w:tc>
      </w:tr>
      <w:tr w:rsidR="005F076B" w:rsidTr="0059378C">
        <w:tc>
          <w:tcPr>
            <w:tcW w:w="4958" w:type="dxa"/>
          </w:tcPr>
          <w:p w:rsidR="005F076B" w:rsidRPr="005F076B" w:rsidRDefault="005F076B" w:rsidP="005F076B">
            <w:pPr>
              <w:jc w:val="both"/>
              <w:rPr>
                <w:rFonts w:ascii="Cambria" w:hAnsi="Cambria"/>
                <w:sz w:val="20"/>
                <w:szCs w:val="20"/>
              </w:rPr>
            </w:pPr>
            <w:bookmarkStart w:id="21" w:name="421"/>
            <w:r w:rsidRPr="005F076B">
              <w:rPr>
                <w:rFonts w:ascii="Cambria" w:hAnsi="Cambria"/>
                <w:b/>
                <w:bCs/>
                <w:color w:val="000000" w:themeColor="text1"/>
                <w:sz w:val="20"/>
                <w:szCs w:val="20"/>
              </w:rPr>
              <w:lastRenderedPageBreak/>
              <w:t>Articulo 421. Hechos que se consideran venta</w:t>
            </w:r>
            <w:r w:rsidRPr="005F076B">
              <w:rPr>
                <w:rFonts w:ascii="Cambria" w:hAnsi="Cambria"/>
                <w:color w:val="00A9E0"/>
                <w:sz w:val="20"/>
                <w:szCs w:val="20"/>
                <w:u w:val="single"/>
              </w:rPr>
              <w:t>.</w:t>
            </w:r>
            <w:bookmarkEnd w:id="21"/>
            <w:r w:rsidRPr="005F076B">
              <w:rPr>
                <w:rFonts w:ascii="Cambria" w:hAnsi="Cambria"/>
                <w:sz w:val="20"/>
                <w:szCs w:val="20"/>
              </w:rPr>
              <w:t>  Para los efectos del presente libro, se consideran ventas:</w:t>
            </w:r>
          </w:p>
          <w:p w:rsidR="005F076B" w:rsidRDefault="005F076B" w:rsidP="005F076B">
            <w:pPr>
              <w:jc w:val="both"/>
              <w:rPr>
                <w:rFonts w:ascii="Cambria" w:hAnsi="Cambria"/>
                <w:sz w:val="20"/>
                <w:szCs w:val="20"/>
              </w:rPr>
            </w:pPr>
          </w:p>
          <w:p w:rsidR="005F076B" w:rsidRDefault="005F076B" w:rsidP="005F076B">
            <w:pPr>
              <w:jc w:val="both"/>
              <w:rPr>
                <w:rFonts w:ascii="Cambria" w:hAnsi="Cambria"/>
                <w:sz w:val="20"/>
                <w:szCs w:val="20"/>
              </w:rPr>
            </w:pPr>
          </w:p>
          <w:p w:rsidR="005F076B" w:rsidRDefault="005F076B" w:rsidP="005F076B">
            <w:pPr>
              <w:jc w:val="both"/>
              <w:rPr>
                <w:rFonts w:ascii="Cambria" w:hAnsi="Cambria"/>
                <w:sz w:val="20"/>
                <w:szCs w:val="20"/>
              </w:rPr>
            </w:pPr>
          </w:p>
          <w:p w:rsidR="005F076B" w:rsidRDefault="005F076B" w:rsidP="005F076B">
            <w:pPr>
              <w:jc w:val="both"/>
              <w:rPr>
                <w:rFonts w:ascii="Cambria" w:hAnsi="Cambria"/>
                <w:color w:val="454545"/>
                <w:sz w:val="20"/>
                <w:szCs w:val="20"/>
              </w:rPr>
            </w:pPr>
            <w:r w:rsidRPr="005F076B">
              <w:rPr>
                <w:rFonts w:ascii="Cambria" w:hAnsi="Cambria"/>
                <w:sz w:val="20"/>
                <w:szCs w:val="20"/>
              </w:rPr>
              <w:t>a) Todos los actos que impliquen la transferencia del dominio a título gratuito u oneroso de bienes corporales muebles e inmuebles, y de los activos intangibles descritos en el literal b) del artículo </w:t>
            </w:r>
            <w:hyperlink r:id="rId52" w:anchor="420" w:history="1">
              <w:r w:rsidRPr="005F076B">
                <w:rPr>
                  <w:rStyle w:val="Hipervnculo"/>
                  <w:rFonts w:ascii="Cambria" w:hAnsi="Cambria"/>
                  <w:color w:val="00A9E0"/>
                  <w:spacing w:val="2"/>
                  <w:sz w:val="20"/>
                  <w:szCs w:val="20"/>
                </w:rPr>
                <w:t>420</w:t>
              </w:r>
            </w:hyperlink>
            <w:r w:rsidRPr="005F076B">
              <w:rPr>
                <w:rFonts w:ascii="Cambria" w:hAnsi="Cambria"/>
                <w:sz w:val="20"/>
                <w:szCs w:val="20"/>
              </w:rPr>
              <w:t>, independientemente de la designación que se dé a los contratos o negociaciones que originen esa transferencia y de las condiciones pactadas por las partes, sea que se realicen a nombre propio, por cuenta de terceros a nombre propio, o por cuenta y a nombre de terceros;</w:t>
            </w:r>
          </w:p>
          <w:p w:rsidR="005F076B" w:rsidRPr="005F076B" w:rsidRDefault="005F076B" w:rsidP="005F076B">
            <w:pPr>
              <w:jc w:val="both"/>
              <w:rPr>
                <w:rFonts w:ascii="Cambria" w:hAnsi="Cambria"/>
                <w:color w:val="454545"/>
                <w:sz w:val="20"/>
                <w:szCs w:val="20"/>
              </w:rPr>
            </w:pPr>
            <w:r w:rsidRPr="005F076B">
              <w:rPr>
                <w:rFonts w:ascii="Cambria" w:hAnsi="Cambria"/>
                <w:color w:val="454545"/>
                <w:sz w:val="20"/>
                <w:szCs w:val="20"/>
              </w:rPr>
              <w:t xml:space="preserve"> </w:t>
            </w:r>
          </w:p>
          <w:p w:rsidR="005F076B" w:rsidRDefault="005F076B" w:rsidP="005F076B">
            <w:pPr>
              <w:jc w:val="both"/>
              <w:rPr>
                <w:rFonts w:ascii="Cambria" w:hAnsi="Cambria"/>
                <w:color w:val="454545"/>
                <w:sz w:val="20"/>
                <w:szCs w:val="20"/>
              </w:rPr>
            </w:pPr>
            <w:r w:rsidRPr="005F076B">
              <w:rPr>
                <w:rFonts w:ascii="Cambria" w:hAnsi="Cambria"/>
                <w:sz w:val="20"/>
                <w:szCs w:val="20"/>
              </w:rPr>
              <w:t>b) Los retiros de bienes corporales muebles e inmuebles hechos por el responsable para su uso o para formar parte de los activos fijos de la empresa;</w:t>
            </w:r>
          </w:p>
          <w:p w:rsidR="005F076B" w:rsidRPr="005F076B" w:rsidRDefault="005F076B" w:rsidP="005F076B">
            <w:pPr>
              <w:jc w:val="both"/>
              <w:rPr>
                <w:rFonts w:ascii="Cambria" w:hAnsi="Cambria"/>
                <w:color w:val="454545"/>
                <w:sz w:val="20"/>
                <w:szCs w:val="20"/>
              </w:rPr>
            </w:pPr>
            <w:r w:rsidRPr="005F076B">
              <w:rPr>
                <w:rFonts w:ascii="Cambria" w:hAnsi="Cambria"/>
                <w:color w:val="454545"/>
                <w:sz w:val="20"/>
                <w:szCs w:val="20"/>
              </w:rPr>
              <w:t xml:space="preserve"> </w:t>
            </w:r>
          </w:p>
          <w:p w:rsidR="005F076B" w:rsidRDefault="005F076B" w:rsidP="005F076B">
            <w:pPr>
              <w:jc w:val="both"/>
              <w:rPr>
                <w:rFonts w:ascii="Cambria" w:hAnsi="Cambria"/>
                <w:color w:val="454545"/>
                <w:sz w:val="20"/>
                <w:szCs w:val="20"/>
              </w:rPr>
            </w:pPr>
            <w:r w:rsidRPr="005F076B">
              <w:rPr>
                <w:rFonts w:ascii="Cambria" w:hAnsi="Cambria"/>
                <w:sz w:val="20"/>
                <w:szCs w:val="20"/>
              </w:rPr>
              <w:t>c) Las incorporaciones de bienes corporales muebles a inmuebles, o a servicios no gravados, así como la transformación de bienes gravados en bienes no gravados, cuando tales bienes hayan sido creados, construidos, fabricados, elaborados, procesados, por quien efectúa la incorporación o transformación.</w:t>
            </w:r>
          </w:p>
          <w:p w:rsidR="005F076B" w:rsidRDefault="005F076B" w:rsidP="005F076B">
            <w:pPr>
              <w:jc w:val="both"/>
              <w:rPr>
                <w:rFonts w:ascii="Cambria" w:hAnsi="Cambria"/>
                <w:color w:val="454545"/>
                <w:sz w:val="20"/>
                <w:szCs w:val="20"/>
              </w:rPr>
            </w:pPr>
          </w:p>
          <w:p w:rsidR="005F076B" w:rsidRPr="005F076B" w:rsidRDefault="005F076B" w:rsidP="005F076B">
            <w:pPr>
              <w:jc w:val="both"/>
              <w:rPr>
                <w:rFonts w:ascii="Cambria" w:hAnsi="Cambria"/>
                <w:sz w:val="20"/>
                <w:szCs w:val="20"/>
              </w:rPr>
            </w:pPr>
            <w:r w:rsidRPr="005F076B">
              <w:rPr>
                <w:rStyle w:val="baj"/>
                <w:rFonts w:ascii="Cambria" w:hAnsi="Cambria"/>
                <w:b/>
                <w:bCs/>
                <w:color w:val="343536"/>
                <w:spacing w:val="2"/>
                <w:sz w:val="20"/>
                <w:szCs w:val="20"/>
              </w:rPr>
              <w:t>PARÁGRAFO.</w:t>
            </w:r>
            <w:r w:rsidRPr="005F076B">
              <w:rPr>
                <w:rFonts w:ascii="Cambria" w:hAnsi="Cambria"/>
                <w:sz w:val="20"/>
                <w:szCs w:val="20"/>
              </w:rPr>
              <w:t> No se considera venta para efectos del impuesto sobre las ventas:</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a) La donación efectuada por entidades estatales de las mercancías aprehendidas, decomisadas o abandonadas a favor de la nación, en los términos de la regulación aduanera vigente;</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b) La asignación de las mercancías decomisadas o abandonadas a favor de la nación que realicen las entidades estatales, siempre que se requieran para el cumplimiento de sus funciones;</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c) La entrega de las mercancías aprehendidas, decomisadas o abandonadas a favor de la nación que lleven a cabo entidades estatales con el propósito de extinguir las deudas a su cargo.</w:t>
            </w:r>
          </w:p>
          <w:p w:rsidR="005F076B" w:rsidRPr="005F076B" w:rsidRDefault="005F076B" w:rsidP="005F076B">
            <w:pPr>
              <w:jc w:val="both"/>
              <w:rPr>
                <w:rFonts w:ascii="Cambria" w:hAnsi="Cambria"/>
                <w:sz w:val="20"/>
                <w:szCs w:val="20"/>
              </w:rPr>
            </w:pPr>
          </w:p>
        </w:tc>
        <w:tc>
          <w:tcPr>
            <w:tcW w:w="4865" w:type="dxa"/>
          </w:tcPr>
          <w:p w:rsidR="005F076B" w:rsidRPr="005F076B" w:rsidRDefault="005F076B" w:rsidP="005F076B">
            <w:pPr>
              <w:jc w:val="both"/>
              <w:rPr>
                <w:rFonts w:ascii="Cambria" w:hAnsi="Cambria"/>
                <w:sz w:val="20"/>
                <w:szCs w:val="20"/>
              </w:rPr>
            </w:pPr>
            <w:r w:rsidRPr="005F076B">
              <w:rPr>
                <w:rFonts w:ascii="Cambria" w:hAnsi="Cambria"/>
                <w:b/>
                <w:bCs/>
                <w:color w:val="000000" w:themeColor="text1"/>
                <w:sz w:val="20"/>
                <w:szCs w:val="20"/>
              </w:rPr>
              <w:lastRenderedPageBreak/>
              <w:t>Articulo 421. Hechos que se consideran venta</w:t>
            </w:r>
            <w:r>
              <w:rPr>
                <w:rFonts w:ascii="Cambria" w:hAnsi="Cambria"/>
                <w:b/>
                <w:bCs/>
                <w:color w:val="000000" w:themeColor="text1"/>
                <w:sz w:val="20"/>
                <w:szCs w:val="20"/>
              </w:rPr>
              <w:t xml:space="preserve"> </w:t>
            </w:r>
            <w:r w:rsidRPr="005F076B">
              <w:rPr>
                <w:rFonts w:ascii="Cambria" w:hAnsi="Cambria"/>
                <w:b/>
                <w:bCs/>
                <w:color w:val="FF0000"/>
                <w:sz w:val="20"/>
                <w:szCs w:val="20"/>
              </w:rPr>
              <w:t xml:space="preserve">(modificado con artículo 3 proyecto de Ley de </w:t>
            </w:r>
            <w:r w:rsidR="00FB60A2">
              <w:rPr>
                <w:rFonts w:ascii="Cambria" w:hAnsi="Cambria"/>
                <w:b/>
                <w:bCs/>
                <w:color w:val="FF0000"/>
                <w:sz w:val="20"/>
                <w:szCs w:val="20"/>
              </w:rPr>
              <w:lastRenderedPageBreak/>
              <w:t xml:space="preserve">septiembre de </w:t>
            </w:r>
            <w:r w:rsidRPr="005F076B">
              <w:rPr>
                <w:rFonts w:ascii="Cambria" w:hAnsi="Cambria"/>
                <w:b/>
                <w:bCs/>
                <w:color w:val="FF0000"/>
                <w:sz w:val="20"/>
                <w:szCs w:val="20"/>
              </w:rPr>
              <w:t>2025)</w:t>
            </w:r>
            <w:r w:rsidRPr="005F076B">
              <w:rPr>
                <w:rFonts w:ascii="Cambria" w:hAnsi="Cambria"/>
                <w:color w:val="FF0000"/>
                <w:sz w:val="20"/>
                <w:szCs w:val="20"/>
                <w:u w:val="single"/>
              </w:rPr>
              <w:t>.</w:t>
            </w:r>
            <w:r w:rsidRPr="005F076B">
              <w:rPr>
                <w:rFonts w:ascii="Cambria" w:hAnsi="Cambria"/>
                <w:color w:val="FF0000"/>
                <w:sz w:val="20"/>
                <w:szCs w:val="20"/>
              </w:rPr>
              <w:t xml:space="preserve">  </w:t>
            </w:r>
            <w:r w:rsidRPr="005F076B">
              <w:rPr>
                <w:rFonts w:ascii="Cambria" w:hAnsi="Cambria"/>
                <w:sz w:val="20"/>
                <w:szCs w:val="20"/>
              </w:rPr>
              <w:t>Para los efectos del presente libro, se consideran ventas:</w:t>
            </w:r>
          </w:p>
          <w:p w:rsidR="005F076B" w:rsidRDefault="005F076B" w:rsidP="005F076B">
            <w:pPr>
              <w:jc w:val="both"/>
              <w:rPr>
                <w:rFonts w:ascii="Cambria" w:hAnsi="Cambria"/>
                <w:sz w:val="20"/>
                <w:szCs w:val="20"/>
              </w:rPr>
            </w:pPr>
          </w:p>
          <w:p w:rsidR="005F076B" w:rsidRDefault="005F076B" w:rsidP="005F076B">
            <w:pPr>
              <w:jc w:val="both"/>
              <w:rPr>
                <w:rFonts w:ascii="Cambria" w:hAnsi="Cambria"/>
                <w:color w:val="454545"/>
                <w:sz w:val="20"/>
                <w:szCs w:val="20"/>
              </w:rPr>
            </w:pPr>
            <w:r w:rsidRPr="005F076B">
              <w:rPr>
                <w:rFonts w:ascii="Cambria" w:hAnsi="Cambria"/>
                <w:sz w:val="20"/>
                <w:szCs w:val="20"/>
              </w:rPr>
              <w:t>a) Todos los actos que impliquen la transferencia del dominio a título gratuito u oneroso de bienes corporales muebles e inmuebles, y de los activos intangibles descritos en el literal b) del artículo </w:t>
            </w:r>
            <w:hyperlink r:id="rId53" w:anchor="420" w:history="1">
              <w:r w:rsidRPr="005F076B">
                <w:rPr>
                  <w:rStyle w:val="Hipervnculo"/>
                  <w:rFonts w:ascii="Cambria" w:hAnsi="Cambria"/>
                  <w:color w:val="00A9E0"/>
                  <w:spacing w:val="2"/>
                  <w:sz w:val="20"/>
                  <w:szCs w:val="20"/>
                </w:rPr>
                <w:t>420</w:t>
              </w:r>
            </w:hyperlink>
            <w:r w:rsidRPr="005F076B">
              <w:rPr>
                <w:rFonts w:ascii="Cambria" w:hAnsi="Cambria"/>
                <w:sz w:val="20"/>
                <w:szCs w:val="20"/>
              </w:rPr>
              <w:t>, independientemente de la designación que se dé a los contratos o negociaciones que originen esa transferencia y de las condiciones pactadas por las partes, sea que se realicen a nombre propio, por cuenta de terceros a nombre propio, o por cuenta y a nombre de terceros;</w:t>
            </w:r>
          </w:p>
          <w:p w:rsidR="005F076B" w:rsidRPr="005F076B" w:rsidRDefault="005F076B" w:rsidP="005F076B">
            <w:pPr>
              <w:jc w:val="both"/>
              <w:rPr>
                <w:rFonts w:ascii="Cambria" w:hAnsi="Cambria"/>
                <w:color w:val="454545"/>
                <w:sz w:val="20"/>
                <w:szCs w:val="20"/>
              </w:rPr>
            </w:pPr>
            <w:r w:rsidRPr="005F076B">
              <w:rPr>
                <w:rFonts w:ascii="Cambria" w:hAnsi="Cambria"/>
                <w:color w:val="454545"/>
                <w:sz w:val="20"/>
                <w:szCs w:val="20"/>
              </w:rPr>
              <w:t xml:space="preserve"> </w:t>
            </w:r>
          </w:p>
          <w:p w:rsidR="005F076B" w:rsidRDefault="005F076B" w:rsidP="005F076B">
            <w:pPr>
              <w:jc w:val="both"/>
              <w:rPr>
                <w:rFonts w:ascii="Cambria" w:hAnsi="Cambria"/>
                <w:color w:val="454545"/>
                <w:sz w:val="20"/>
                <w:szCs w:val="20"/>
              </w:rPr>
            </w:pPr>
            <w:r w:rsidRPr="005F076B">
              <w:rPr>
                <w:rFonts w:ascii="Cambria" w:hAnsi="Cambria"/>
                <w:sz w:val="20"/>
                <w:szCs w:val="20"/>
              </w:rPr>
              <w:t>b) Los retiros de bienes corporales muebles e inmuebles hechos por el responsable para su uso o para formar parte de los activos fijos de la empresa;</w:t>
            </w:r>
          </w:p>
          <w:p w:rsidR="005F076B" w:rsidRPr="005F076B" w:rsidRDefault="005F076B" w:rsidP="005F076B">
            <w:pPr>
              <w:jc w:val="both"/>
              <w:rPr>
                <w:rFonts w:ascii="Cambria" w:hAnsi="Cambria"/>
                <w:color w:val="454545"/>
                <w:sz w:val="20"/>
                <w:szCs w:val="20"/>
              </w:rPr>
            </w:pPr>
            <w:r w:rsidRPr="005F076B">
              <w:rPr>
                <w:rFonts w:ascii="Cambria" w:hAnsi="Cambria"/>
                <w:color w:val="454545"/>
                <w:sz w:val="20"/>
                <w:szCs w:val="20"/>
              </w:rPr>
              <w:t xml:space="preserve"> </w:t>
            </w:r>
          </w:p>
          <w:p w:rsidR="005F076B" w:rsidRDefault="005F076B" w:rsidP="005F076B">
            <w:pPr>
              <w:jc w:val="both"/>
              <w:rPr>
                <w:rFonts w:ascii="Cambria" w:hAnsi="Cambria"/>
                <w:color w:val="454545"/>
                <w:sz w:val="20"/>
                <w:szCs w:val="20"/>
              </w:rPr>
            </w:pPr>
            <w:r w:rsidRPr="005F076B">
              <w:rPr>
                <w:rFonts w:ascii="Cambria" w:hAnsi="Cambria"/>
                <w:sz w:val="20"/>
                <w:szCs w:val="20"/>
              </w:rPr>
              <w:t>c) Las incorporaciones de bienes corporales muebles a inmuebles, o a servicios no gravados, así como la transformación de bienes gravados en bienes no gravados, cuando tales bienes hayan sido creados, construidos, fabricados, elaborados, procesados, por quien efectúa la incorporación o transformación.</w:t>
            </w:r>
          </w:p>
          <w:p w:rsidR="005F076B" w:rsidRDefault="005F076B" w:rsidP="005F076B">
            <w:pPr>
              <w:jc w:val="both"/>
              <w:rPr>
                <w:rFonts w:ascii="Cambria" w:hAnsi="Cambria"/>
                <w:color w:val="454545"/>
                <w:sz w:val="20"/>
                <w:szCs w:val="20"/>
              </w:rPr>
            </w:pPr>
          </w:p>
          <w:p w:rsidR="005F076B" w:rsidRPr="005F076B" w:rsidRDefault="005F076B" w:rsidP="005F076B">
            <w:pPr>
              <w:jc w:val="both"/>
              <w:rPr>
                <w:rFonts w:ascii="Cambria" w:hAnsi="Cambria"/>
                <w:sz w:val="20"/>
                <w:szCs w:val="20"/>
              </w:rPr>
            </w:pPr>
            <w:r w:rsidRPr="005F076B">
              <w:rPr>
                <w:rStyle w:val="baj"/>
                <w:rFonts w:ascii="Cambria" w:hAnsi="Cambria"/>
                <w:b/>
                <w:bCs/>
                <w:color w:val="343536"/>
                <w:spacing w:val="2"/>
                <w:sz w:val="20"/>
                <w:szCs w:val="20"/>
              </w:rPr>
              <w:t>PARÁGRAFO.</w:t>
            </w:r>
            <w:r w:rsidRPr="005F076B">
              <w:rPr>
                <w:rFonts w:ascii="Cambria" w:hAnsi="Cambria"/>
                <w:sz w:val="20"/>
                <w:szCs w:val="20"/>
              </w:rPr>
              <w:t> No se considera venta para efectos del impuesto sobre las ventas:</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a) La donación efectuada por entidades estatales de las mercancías aprehendidas, decomisadas o abandonadas a favor de la nación, en los términos de la regulación aduanera vigente;</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b) La asignación de las mercancías decomisadas o abandonadas a favor de la nación que realicen las entidades estatales, siempre que se requieran para el cumplimiento de sus funciones;</w:t>
            </w:r>
          </w:p>
          <w:p w:rsidR="005F076B" w:rsidRDefault="005F076B" w:rsidP="005F076B">
            <w:pPr>
              <w:jc w:val="both"/>
              <w:rPr>
                <w:rFonts w:ascii="Cambria" w:hAnsi="Cambria"/>
                <w:sz w:val="20"/>
                <w:szCs w:val="20"/>
              </w:rPr>
            </w:pPr>
          </w:p>
          <w:p w:rsidR="005F076B" w:rsidRPr="005F076B" w:rsidRDefault="005F076B" w:rsidP="005F076B">
            <w:pPr>
              <w:jc w:val="both"/>
              <w:rPr>
                <w:rFonts w:ascii="Cambria" w:hAnsi="Cambria"/>
                <w:sz w:val="20"/>
                <w:szCs w:val="20"/>
              </w:rPr>
            </w:pPr>
            <w:r w:rsidRPr="005F076B">
              <w:rPr>
                <w:rFonts w:ascii="Cambria" w:hAnsi="Cambria"/>
                <w:sz w:val="20"/>
                <w:szCs w:val="20"/>
              </w:rPr>
              <w:t>c) La entrega de las mercancías aprehendidas, decomisadas o abandonadas a favor de la nación que lleven a cabo entidades estatales con el propósito de extinguir las deudas a su cargo.</w:t>
            </w:r>
          </w:p>
          <w:p w:rsidR="005F076B" w:rsidRDefault="005F076B" w:rsidP="005F076B">
            <w:pPr>
              <w:jc w:val="both"/>
              <w:rPr>
                <w:rFonts w:ascii="Cambria" w:hAnsi="Cambria"/>
                <w:sz w:val="20"/>
                <w:szCs w:val="20"/>
              </w:rPr>
            </w:pPr>
          </w:p>
          <w:p w:rsidR="005F076B" w:rsidRPr="005F076B" w:rsidRDefault="005F076B" w:rsidP="007E031F">
            <w:pPr>
              <w:jc w:val="both"/>
              <w:rPr>
                <w:rFonts w:ascii="Cambria" w:hAnsi="Cambria"/>
                <w:sz w:val="20"/>
                <w:szCs w:val="20"/>
              </w:rPr>
            </w:pPr>
            <w:r w:rsidRPr="005F076B">
              <w:rPr>
                <w:rFonts w:ascii="Cambria" w:hAnsi="Cambria"/>
                <w:sz w:val="20"/>
                <w:szCs w:val="20"/>
                <w:highlight w:val="yellow"/>
              </w:rPr>
              <w:t>d) Las cuotas de administración asociadas a la propiedad horizontal o afiliación a no contribuyentes del impuesto sobre la renta y complementarios.</w:t>
            </w:r>
          </w:p>
        </w:tc>
      </w:tr>
      <w:tr w:rsidR="00563E5A" w:rsidTr="0059378C">
        <w:tc>
          <w:tcPr>
            <w:tcW w:w="4958" w:type="dxa"/>
          </w:tcPr>
          <w:p w:rsidR="00563E5A" w:rsidRDefault="00563E5A" w:rsidP="00563E5A">
            <w:pPr>
              <w:jc w:val="both"/>
              <w:rPr>
                <w:rFonts w:ascii="Cambria" w:hAnsi="Cambria"/>
                <w:sz w:val="16"/>
                <w:szCs w:val="16"/>
              </w:rPr>
            </w:pPr>
            <w:r w:rsidRPr="00563E5A">
              <w:rPr>
                <w:rFonts w:ascii="Cambria" w:hAnsi="Cambria"/>
                <w:b/>
                <w:bCs/>
                <w:color w:val="000000" w:themeColor="text1"/>
                <w:sz w:val="16"/>
                <w:szCs w:val="16"/>
              </w:rPr>
              <w:lastRenderedPageBreak/>
              <w:t xml:space="preserve">Articulo 424. Bienes que no causan el impuesto </w:t>
            </w:r>
            <w:r w:rsidRPr="00563E5A">
              <w:rPr>
                <w:rFonts w:ascii="Cambria" w:hAnsi="Cambria"/>
                <w:sz w:val="16"/>
                <w:szCs w:val="16"/>
              </w:rPr>
              <w:t>Los siguientes bienes se hallan excluidos del impuesto y por consiguiente su venta o importación no causa el impuesto sobre las ventas. Para tal efecto se utiliza la nomenclatura arancelaria Andina vigente</w:t>
            </w:r>
            <w:r>
              <w:rPr>
                <w:rFonts w:ascii="Cambria" w:hAnsi="Cambria"/>
                <w:sz w:val="16"/>
                <w:szCs w:val="16"/>
              </w:rPr>
              <w:t xml:space="preserve">: </w:t>
            </w:r>
          </w:p>
          <w:p w:rsidR="00563E5A" w:rsidRDefault="00563E5A" w:rsidP="00563E5A">
            <w:pPr>
              <w:jc w:val="both"/>
              <w:rPr>
                <w:rFonts w:ascii="Cambria" w:hAnsi="Cambria"/>
                <w:sz w:val="16"/>
                <w:szCs w:val="16"/>
              </w:rPr>
            </w:pPr>
          </w:p>
          <w:p w:rsidR="00563E5A" w:rsidRDefault="00563E5A" w:rsidP="00563E5A">
            <w:pPr>
              <w:jc w:val="both"/>
              <w:rPr>
                <w:rFonts w:ascii="Cambria" w:hAnsi="Cambria"/>
                <w:sz w:val="16"/>
                <w:szCs w:val="16"/>
              </w:rPr>
            </w:pPr>
          </w:p>
          <w:p w:rsidR="00563E5A" w:rsidRPr="00563E5A" w:rsidRDefault="00563E5A" w:rsidP="00563E5A">
            <w:pPr>
              <w:jc w:val="both"/>
              <w:rPr>
                <w:rFonts w:ascii="Cambria" w:hAnsi="Cambria"/>
                <w:vanish/>
                <w:sz w:val="16"/>
                <w:szCs w:val="16"/>
              </w:rPr>
            </w:pPr>
            <w:r w:rsidRPr="00563E5A">
              <w:rPr>
                <w:rFonts w:ascii="Cambria" w:hAnsi="Cambria"/>
                <w:vanish/>
                <w:sz w:val="16"/>
                <w:szCs w:val="16"/>
              </w:rPr>
              <w:t xml:space="preserve"> </w:t>
            </w:r>
          </w:p>
          <w:tbl>
            <w:tblPr>
              <w:tblW w:w="4420" w:type="dxa"/>
              <w:tblCellSpacing w:w="15" w:type="dxa"/>
              <w:tblCellMar>
                <w:top w:w="15" w:type="dxa"/>
                <w:left w:w="15" w:type="dxa"/>
                <w:bottom w:w="15" w:type="dxa"/>
                <w:right w:w="15" w:type="dxa"/>
              </w:tblCellMar>
              <w:tblLook w:val="04A0" w:firstRow="1" w:lastRow="0" w:firstColumn="1" w:lastColumn="0" w:noHBand="0" w:noVBand="1"/>
            </w:tblPr>
            <w:tblGrid>
              <w:gridCol w:w="1118"/>
              <w:gridCol w:w="3302"/>
            </w:tblGrid>
            <w:tr w:rsidR="00563E5A" w:rsidRPr="00563E5A" w:rsidTr="009708F4">
              <w:trPr>
                <w:tblCellSpacing w:w="15" w:type="dxa"/>
              </w:trPr>
              <w:tc>
                <w:tcPr>
                  <w:tcW w:w="1214" w:type="pct"/>
                  <w:tcBorders>
                    <w:top w:val="single" w:sz="4"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01.03</w:t>
                  </w:r>
                </w:p>
              </w:tc>
              <w:tc>
                <w:tcPr>
                  <w:tcW w:w="3684" w:type="pct"/>
                  <w:tcBorders>
                    <w:top w:val="single" w:sz="4"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Animales vivos de la especie porcina.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01.04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Animales vivos de las especies ovina o caprina.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01.05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Gallos, gallinas, patos, gansos, pavos (gallipavos) y pintadas, de las especies domésticas, vivos.</w:t>
                  </w:r>
                </w:p>
              </w:tc>
            </w:tr>
            <w:tr w:rsidR="00563E5A" w:rsidRPr="00563E5A" w:rsidTr="009708F4">
              <w:trPr>
                <w:tblCellSpacing w:w="15" w:type="dxa"/>
              </w:trPr>
              <w:tc>
                <w:tcPr>
                  <w:tcW w:w="1214" w:type="pct"/>
                  <w:tcBorders>
                    <w:top w:val="single" w:sz="6" w:space="0" w:color="auto"/>
                    <w:left w:val="single" w:sz="4" w:space="0" w:color="auto"/>
                    <w:bottom w:val="single" w:sz="4"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01.06</w:t>
                  </w:r>
                </w:p>
              </w:tc>
              <w:tc>
                <w:tcPr>
                  <w:tcW w:w="3684" w:type="pct"/>
                  <w:tcBorders>
                    <w:top w:val="single" w:sz="6" w:space="0" w:color="auto"/>
                    <w:left w:val="single" w:sz="6" w:space="0" w:color="auto"/>
                    <w:bottom w:val="single" w:sz="4"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animales vivos, excepto los animales domésticos de compañía</w:t>
                  </w:r>
                </w:p>
              </w:tc>
            </w:tr>
            <w:tr w:rsidR="00563E5A" w:rsidRPr="00563E5A" w:rsidTr="009708F4">
              <w:trPr>
                <w:tblCellSpacing w:w="15" w:type="dxa"/>
              </w:trPr>
              <w:tc>
                <w:tcPr>
                  <w:tcW w:w="1214" w:type="pct"/>
                  <w:tcBorders>
                    <w:top w:val="single" w:sz="4"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03.01</w:t>
                  </w:r>
                </w:p>
              </w:tc>
              <w:tc>
                <w:tcPr>
                  <w:tcW w:w="3684" w:type="pct"/>
                  <w:tcBorders>
                    <w:top w:val="single" w:sz="4"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Peces vivos, excepto los peces ornamentales de las posiciones 03.01.11.00.00 y 03.01.19.00.00.</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Albacoras o atunes blancos.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Atunes de aleta amarilla (rabiles).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03.03.45.00.00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Atunes comunes o de aleta azul, del Atlántico y del Pacífico.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Pescado seco, salado o en salmuera, pescado ahumado, incluso cocido antes o durante el ahumado, harina, polvo y "pellets" de pescado, aptos para la alimentación humana.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04.04.90.00.00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constituidos por los componentes naturales de la leche.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04.09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Miel natural.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05.11.10.00.00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Semen de Bovino.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Bulbos, cebollas, tubérculos, raíces y bulbos tuberosos, turiones y rizomas, en reposo vegetativo, en vegetación o en flor, plantas y raíces de achicoria, excepto las raíces de la partida 12.12.</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06.02.90.90.00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plantas vivas (incluidas sus raíces), esquejes e injertos; micelios.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06.02.20.00.00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Plántulas para la siembra, incluso de especies forestales maderables.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Papas (patatas)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Tomates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Cebollas, chalotes, ajos, puerros y demás hortalizas aliáceas,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Coles, incluidos los repollos, coliflores, coles rizadas, colinabos y productos comestibles similares del género </w:t>
                  </w:r>
                  <w:proofErr w:type="spellStart"/>
                  <w:r w:rsidRPr="00563E5A">
                    <w:rPr>
                      <w:rFonts w:ascii="Cambria" w:hAnsi="Cambria"/>
                      <w:sz w:val="16"/>
                      <w:szCs w:val="16"/>
                    </w:rPr>
                    <w:t>Brassica</w:t>
                  </w:r>
                  <w:proofErr w:type="spellEnd"/>
                  <w:r w:rsidRPr="00563E5A">
                    <w:rPr>
                      <w:rFonts w:ascii="Cambria" w:hAnsi="Cambria"/>
                      <w:sz w:val="16"/>
                      <w:szCs w:val="16"/>
                    </w:rPr>
                    <w:t>,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Lechugas (Lactuca sativa) y achicorias, comprendidas la escarola y la endibia (</w:t>
                  </w:r>
                  <w:proofErr w:type="spellStart"/>
                  <w:r w:rsidRPr="00563E5A">
                    <w:rPr>
                      <w:rFonts w:ascii="Cambria" w:hAnsi="Cambria"/>
                      <w:sz w:val="16"/>
                      <w:szCs w:val="16"/>
                    </w:rPr>
                    <w:t>Cichoriumspp</w:t>
                  </w:r>
                  <w:proofErr w:type="spellEnd"/>
                  <w:r w:rsidRPr="00563E5A">
                    <w:rPr>
                      <w:rFonts w:ascii="Cambria" w:hAnsi="Cambria"/>
                      <w:sz w:val="16"/>
                      <w:szCs w:val="16"/>
                    </w:rPr>
                    <w:t>.),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Zanahorias, nabos, remolachas para ensalada, </w:t>
                  </w:r>
                  <w:proofErr w:type="spellStart"/>
                  <w:r w:rsidRPr="00563E5A">
                    <w:rPr>
                      <w:rFonts w:ascii="Cambria" w:hAnsi="Cambria"/>
                      <w:sz w:val="16"/>
                      <w:szCs w:val="16"/>
                    </w:rPr>
                    <w:t>salsifies</w:t>
                  </w:r>
                  <w:proofErr w:type="spellEnd"/>
                  <w:r w:rsidRPr="00563E5A">
                    <w:rPr>
                      <w:rFonts w:ascii="Cambria" w:hAnsi="Cambria"/>
                      <w:sz w:val="16"/>
                      <w:szCs w:val="16"/>
                    </w:rPr>
                    <w:t xml:space="preserve">, </w:t>
                  </w:r>
                  <w:proofErr w:type="spellStart"/>
                  <w:r w:rsidRPr="00563E5A">
                    <w:rPr>
                      <w:rFonts w:ascii="Cambria" w:hAnsi="Cambria"/>
                      <w:sz w:val="16"/>
                      <w:szCs w:val="16"/>
                    </w:rPr>
                    <w:t>apionabos</w:t>
                  </w:r>
                  <w:proofErr w:type="spellEnd"/>
                  <w:r w:rsidRPr="00563E5A">
                    <w:rPr>
                      <w:rFonts w:ascii="Cambria" w:hAnsi="Cambria"/>
                      <w:sz w:val="16"/>
                      <w:szCs w:val="16"/>
                    </w:rPr>
                    <w:t>, rábanos y raíces comestibles similares,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Pepinos y pepinillos,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de vaina, aunque estén desvainadas,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hortalizas,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secas, incluidas las cortadas en trozos o en rodajas o las trituradas o pulverizadas, pero sin otra preparación.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de vaina secas desvainadas, aunque estén mondadas o partidas.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Raíces de yuca (mandioca), arrurruz o salep, aguaturmas (patacas), camotes (batatas, boniatos) y raíces y tubérculos similares ricos en fécula o inulina, frescos, refrigerados, </w:t>
                  </w:r>
                  <w:r w:rsidRPr="00563E5A">
                    <w:rPr>
                      <w:rFonts w:ascii="Cambria" w:hAnsi="Cambria"/>
                      <w:sz w:val="16"/>
                      <w:szCs w:val="16"/>
                    </w:rPr>
                    <w:lastRenderedPageBreak/>
                    <w:t>congelados o secos, incluso troceados o en "pellets", médula de sagú.</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08.01.12.00.00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Cocos con la cáscara interna (endocarpio)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08.01.19.00.00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cocos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Bananas, incluidos los plátanos "</w:t>
                  </w:r>
                  <w:proofErr w:type="spellStart"/>
                  <w:r w:rsidRPr="00563E5A">
                    <w:rPr>
                      <w:rFonts w:ascii="Cambria" w:hAnsi="Cambria"/>
                      <w:sz w:val="16"/>
                      <w:szCs w:val="16"/>
                    </w:rPr>
                    <w:t>plantains</w:t>
                  </w:r>
                  <w:proofErr w:type="spellEnd"/>
                  <w:r w:rsidRPr="00563E5A">
                    <w:rPr>
                      <w:rFonts w:ascii="Cambria" w:hAnsi="Cambria"/>
                      <w:sz w:val="16"/>
                      <w:szCs w:val="16"/>
                    </w:rPr>
                    <w:t>",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Dátiles, higos, piñas (ananás), aguacates (paltas), guayabas, mangos y mangostanes,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Agrios (cítricos)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Uvas, frescas o secas, incluidas las pasas.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Melones, sandías y papayas,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Manzanas, peras y membrillos,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Damascos (albaricoques, chabacanos), cerezas, duraznos (melocotones) (incluidos los griñones nectarines), ciruelas y endrinas,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frutas u otros frutos,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09.01.11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Café en grano sin tostar, cáscara y cascarilla de café.</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09.09.21.10.00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cilantro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10.01.11.00.00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Trigo duro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10.01.91.00.00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semillas de trigo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10.02.10.00.00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Centeno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Cebada.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Avena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10.05.10.00.00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10.05.90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Arroz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Arroz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10.06.10.90.00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Arroz con cáscara (Arroz </w:t>
                  </w:r>
                  <w:proofErr w:type="spellStart"/>
                  <w:r w:rsidRPr="00563E5A">
                    <w:rPr>
                      <w:rFonts w:ascii="Cambria" w:hAnsi="Cambria"/>
                      <w:sz w:val="16"/>
                      <w:szCs w:val="16"/>
                    </w:rPr>
                    <w:t>Paddy</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10.07.10.00.00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Sorgo de grano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11.04.23.00.00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trillado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12.01.10.00.00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Habas de soya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12.02.30.00.00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Maníes (cacahuetes, cacahuates)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Copra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12.04.00.10.00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lino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nabo (nabina) o de colza para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12.06.00.10.00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girasol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nueces y almendras de palma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algodón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12.07.30.10.00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ricino para la siembra. I</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12.07.40.10.00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sésamo (ajonjolí)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12.07.50.10.00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mostaza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12.07.60.10.00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cártamo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12.07.70.10.00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melón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12.07.99.10.00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semillas y frutos oleaginosos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frutos y esporas, para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12.12.93.00.00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Caña de azúcar.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17.01.13.00.00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Chancaca (panela, raspadura) Obtenida de la extracción y evaporación en forma artesanal de los jugos de caña de azúcar en trapiches paneleros.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18.01.00.11.00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Cacao en grano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18.01.00.19.00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Cacao en grano crudo.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19.01.10.91.00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Únicamente la </w:t>
                  </w:r>
                  <w:proofErr w:type="spellStart"/>
                  <w:r w:rsidRPr="00563E5A">
                    <w:rPr>
                      <w:rFonts w:ascii="Cambria" w:hAnsi="Cambria"/>
                      <w:sz w:val="16"/>
                      <w:szCs w:val="16"/>
                    </w:rPr>
                    <w:t>Bienestarina</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19.01.90.20.00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alimenticios elaborados de manera artesanal a base de leche.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Pan horneado o cocido y producido a base principalmente de harinas de cereales, con o sin levadura, sal o dulce, sea integral o no, sin que para el efecto importe la forma dada al pan, ni la proporción de las harinas de cereales utilizadas en su preparación, ni el grado de cocción, incluida la arepa de maíz.</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20.07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alimenticios elaborados de manera artesanal a base de guayaba.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22.01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Agua, incluidas el agua mineral natural o artificial y la gaseada, sin adición de azúcar u otro edulcorante ni aromatizada, hielo y nieve.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Sal (incluidas la de mesa y la desnaturalizada) y cloruro de sodio puro, incluso en disolución acuosa o con adición de </w:t>
                  </w:r>
                  <w:proofErr w:type="spellStart"/>
                  <w:r w:rsidRPr="00563E5A">
                    <w:rPr>
                      <w:rFonts w:ascii="Cambria" w:hAnsi="Cambria"/>
                      <w:sz w:val="16"/>
                      <w:szCs w:val="16"/>
                    </w:rPr>
                    <w:t>antiaglomerantes</w:t>
                  </w:r>
                  <w:proofErr w:type="spellEnd"/>
                  <w:r w:rsidRPr="00563E5A">
                    <w:rPr>
                      <w:rFonts w:ascii="Cambria" w:hAnsi="Cambria"/>
                      <w:sz w:val="16"/>
                      <w:szCs w:val="16"/>
                    </w:rPr>
                    <w:t xml:space="preserve"> o de agentes que garanticen una buena fluidez, agua de mar.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Azufre de cualquier clase, excepto el sublimado, el precipitado y el coloidal.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Fosfatos de calcio naturales, fosfatos </w:t>
                  </w:r>
                  <w:proofErr w:type="spellStart"/>
                  <w:r w:rsidRPr="00563E5A">
                    <w:rPr>
                      <w:rFonts w:ascii="Cambria" w:hAnsi="Cambria"/>
                      <w:sz w:val="16"/>
                      <w:szCs w:val="16"/>
                    </w:rPr>
                    <w:t>aluminocálcicos</w:t>
                  </w:r>
                  <w:proofErr w:type="spellEnd"/>
                  <w:r w:rsidRPr="00563E5A">
                    <w:rPr>
                      <w:rFonts w:ascii="Cambria" w:hAnsi="Cambria"/>
                      <w:sz w:val="16"/>
                      <w:szCs w:val="16"/>
                    </w:rPr>
                    <w:t xml:space="preserve"> naturales y cretas fosfatadas.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25.18.10.00.00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Dolomita sin calcinar ni sintetizar, llamada "cruda". Cal dolomita inorgánica para uso agrícola como fertilizante.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Hullas, briquetas, ovoides y combustibles sólidos similares, obtenidos de la hulla.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27.04.00.10.00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Coques y semicoques de hulla.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27.04.00.20.00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Coques y semicoques de lignito o turba.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Gas natural licuado.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Gas propano, incluido el </w:t>
                  </w:r>
                  <w:proofErr w:type="spellStart"/>
                  <w:r w:rsidRPr="00563E5A">
                    <w:rPr>
                      <w:rFonts w:ascii="Cambria" w:hAnsi="Cambria"/>
                      <w:sz w:val="16"/>
                      <w:szCs w:val="16"/>
                    </w:rPr>
                    <w:t>autogás</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Butanos licuados.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Gas natural en estado gaseoso, incluido el biogás.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27.11.29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Gas propano en estado gaseoso y gas butano en estado gaseoso, incluido el </w:t>
                  </w:r>
                  <w:proofErr w:type="spellStart"/>
                  <w:r w:rsidRPr="00563E5A">
                    <w:rPr>
                      <w:rFonts w:ascii="Cambria" w:hAnsi="Cambria"/>
                      <w:sz w:val="16"/>
                      <w:szCs w:val="16"/>
                    </w:rPr>
                    <w:t>autogás</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Energía eléctrica.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28.44.40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Material radiactivo para uso médico.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30.05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Guatas, gasas, vendas y artículos análogos (por ejemplo: apósitos, esparadrapos, sinapismos), impregnados o recubiertos de sustancias farmacéuticas o acondicionados para la venta al </w:t>
                  </w:r>
                  <w:r w:rsidRPr="00563E5A">
                    <w:rPr>
                      <w:rFonts w:ascii="Cambria" w:hAnsi="Cambria"/>
                      <w:sz w:val="16"/>
                      <w:szCs w:val="16"/>
                    </w:rPr>
                    <w:lastRenderedPageBreak/>
                    <w:t>por menor con fines médicos, quirúrgicos, odontológicos o veterinarios.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31.01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de origen animal o vegetal, incluso mezclados entre sí o tratados químicamente, abonos procedentes de la mezcla o del tratamiento químico de productos de origen animal o vegetal.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nitrogenados.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fosfatados.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potásicos.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con dos o tres de los elementos fertilizantes: nitrógeno, fósforo y potasio, los demás abonos, productos de este capítulo en tabletas o formas similares o en envases de un peso bruto inferior o igual a 10 kg.</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38.08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Insecticidas, raticidas y demás </w:t>
                  </w:r>
                  <w:proofErr w:type="spellStart"/>
                  <w:r w:rsidRPr="00563E5A">
                    <w:rPr>
                      <w:rFonts w:ascii="Cambria" w:hAnsi="Cambria"/>
                      <w:sz w:val="16"/>
                      <w:szCs w:val="16"/>
                    </w:rPr>
                    <w:t>antirroedores</w:t>
                  </w:r>
                  <w:proofErr w:type="spellEnd"/>
                  <w:r w:rsidRPr="00563E5A">
                    <w:rPr>
                      <w:rFonts w:ascii="Cambria" w:hAnsi="Cambria"/>
                      <w:sz w:val="16"/>
                      <w:szCs w:val="16"/>
                    </w:rPr>
                    <w:t>, fungicidas, herbicidas, inhibidores de germinación y reguladores del crecimiento de las plantas, desinfectantes y productos similares, presentados en formas o en envases para la venta al por menor, o como preparaciones o artículos, tales como cintas, mechas y velas azufradas y papeles matamoscas.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38.22.00.90.00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Reactivos de diagnóstico sobre cualquier soporte y reactivos de diagnóstico preparados, incluso sobre soporte.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Caucho natural.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40.11.70.00.00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Neumáticos de los tipos utilizados en vehículos y máquinas agrícolas o forestales.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40.14.10.00.00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Preservativos.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48.01.00.00.00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Papel prensa en bobinas (rollos) o en hojas.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48.02.61.90.00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papeles prensa en bobinas (rollos)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53.05.00.90.00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Pita (Cabuya,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53.11.00.00.00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Tejidos de las demás fibras textiles vegetales.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56.08.11.00.00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Redes confeccionadas para la pesca.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59.11.90.90.00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Empaques de yute, cáñamo y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yute.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63.05.90.10.00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pita (cabuya,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cáñamo.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69.04.10.00.00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Ladrillos de construcción y bloques de calicanto, de arcilla, y con base en cemento, bloques de arcilla </w:t>
                  </w:r>
                  <w:proofErr w:type="spellStart"/>
                  <w:r w:rsidRPr="00563E5A">
                    <w:rPr>
                      <w:rFonts w:ascii="Cambria" w:hAnsi="Cambria"/>
                      <w:sz w:val="16"/>
                      <w:szCs w:val="16"/>
                    </w:rPr>
                    <w:t>silvocalcarea</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71.18.90.00.00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Monedas de curso legal.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84.07.21.00.00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Motores fuera de borda, hasta 115HP.</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84.08.10.00.00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Motores Diésel hasta 150H P.</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84.24.82.21.00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Sistemas de riego por goteo o aspersión.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84.24.82.29.00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sistemas de riego.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84.24.90.10.00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Aspersores y goteros, para sistemas de riego.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Guadañadoras, incluidas las barras de corte para montar sobre un tractor.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84.33.30.00.00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henificar.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84.33.40.00.00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Prensas para paja o forraje, incluidas las prensas recogedoras.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Cosechadoras-trilladoras.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trillar.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de cosechar raíces o tubérculos.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cosechar, máquinas y aparatos de trillar.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84.33.60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para limpieza o clasificación de huevos, frutos o demás productos agrícolas.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84.33.90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de máquinas, aparatos y artefactos de cosechar o trillar, incluidas las prensas para paja o forraje, cortadoras de césped y guadañadoras, máquinas para limpieza o clasificación de huevos, frutos o demás productos agrícolas, excepto las de la partida 84.37.</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y aparatos para preparar alimentos o piensos para animales.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84.36.80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para uso agropecuario.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84.36.99.00.00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de las demás máquinas y aparatos para uso agropecuario.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84.37.10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para limpieza, clasificación o cribado de semillas, granos u hortalizas de vaina secas.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Tractores para uso agropecuario de las partidas 87.01.91.00.00, 87.01.92.00.00, 87.01.93.00.00, 87.01.94.00.00, 87.01.95.00.00.</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Sillones de ruedas y demás vehículos para inválidos, incluso con motor u otro mecanismo de propulsión.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87.14.20.00.00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y accesorios de sillones de ruedas y demás vehículos para inválidos de la partida 87.13.</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87.16.20.00.00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Remolques y semirremolques, </w:t>
                  </w:r>
                  <w:proofErr w:type="spellStart"/>
                  <w:r w:rsidRPr="00563E5A">
                    <w:rPr>
                      <w:rFonts w:ascii="Cambria" w:hAnsi="Cambria"/>
                      <w:sz w:val="16"/>
                      <w:szCs w:val="16"/>
                    </w:rPr>
                    <w:t>autocargadores</w:t>
                  </w:r>
                  <w:proofErr w:type="spellEnd"/>
                  <w:r w:rsidRPr="00563E5A">
                    <w:rPr>
                      <w:rFonts w:ascii="Cambria" w:hAnsi="Cambria"/>
                      <w:sz w:val="16"/>
                      <w:szCs w:val="16"/>
                    </w:rPr>
                    <w:t xml:space="preserve"> o </w:t>
                  </w:r>
                  <w:proofErr w:type="spellStart"/>
                  <w:r w:rsidRPr="00563E5A">
                    <w:rPr>
                      <w:rFonts w:ascii="Cambria" w:hAnsi="Cambria"/>
                      <w:sz w:val="16"/>
                      <w:szCs w:val="16"/>
                    </w:rPr>
                    <w:t>autodescargadores</w:t>
                  </w:r>
                  <w:proofErr w:type="spellEnd"/>
                  <w:r w:rsidRPr="00563E5A">
                    <w:rPr>
                      <w:rFonts w:ascii="Cambria" w:hAnsi="Cambria"/>
                      <w:sz w:val="16"/>
                      <w:szCs w:val="16"/>
                    </w:rPr>
                    <w:t>, para uso agrícola.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contacto.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90.01.40.00.00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vidrio para gafas.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90.01.50.00.00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otras materias para gafas.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90.18.39.00.00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Catéteres y catéteres peritoneales y equipos para la infusión de líquidos y filtros para diálisis renal de esta subpartida.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90.18.90.90.00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Equipos para la infusión de sangre.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90.21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Artículos y aparatos de ortopedia, incluidas las fajas y vendajes </w:t>
                  </w:r>
                  <w:proofErr w:type="spellStart"/>
                  <w:r w:rsidRPr="00563E5A">
                    <w:rPr>
                      <w:rFonts w:ascii="Cambria" w:hAnsi="Cambria"/>
                      <w:sz w:val="16"/>
                      <w:szCs w:val="16"/>
                    </w:rPr>
                    <w:t>médicoquirúrgicos</w:t>
                  </w:r>
                  <w:proofErr w:type="spellEnd"/>
                  <w:r w:rsidRPr="00563E5A">
                    <w:rPr>
                      <w:rFonts w:ascii="Cambria" w:hAnsi="Cambria"/>
                      <w:sz w:val="16"/>
                      <w:szCs w:val="16"/>
                    </w:rPr>
                    <w:t xml:space="preserve"> y las muletas tablillas, férulas u otros artículos y aparatos para fracturas, artículos y aparatos de prótesis, audífonos y demás aparatos que lleve la propia persona o se le implanten para compensar un defecto o incapacidad. Las impresoras braille, máquinas inteligentes de lectura para ciegos, software lector de pantalla para ciegos, estereotipadoras braille, líneas braille, regletas braille, cajas aritméticas y de dibujo braille, elementos manuales o mecánicos de escritura del sistema braille, así </w:t>
                  </w:r>
                  <w:r w:rsidRPr="00563E5A">
                    <w:rPr>
                      <w:rFonts w:ascii="Cambria" w:hAnsi="Cambria"/>
                      <w:sz w:val="16"/>
                      <w:szCs w:val="16"/>
                    </w:rPr>
                    <w:lastRenderedPageBreak/>
                    <w:t>como los bastones para ciegos aunque estén dotados de tecnología, contenidos en esta partida arancelaria.</w:t>
                  </w:r>
                </w:p>
              </w:tc>
            </w:tr>
            <w:tr w:rsidR="00563E5A" w:rsidRPr="00563E5A" w:rsidTr="009708F4">
              <w:trPr>
                <w:tblCellSpacing w:w="15" w:type="dxa"/>
              </w:trPr>
              <w:tc>
                <w:tcPr>
                  <w:tcW w:w="1214" w:type="pct"/>
                  <w:tcBorders>
                    <w:top w:val="nil"/>
                    <w:left w:val="nil"/>
                    <w:bottom w:val="nil"/>
                    <w:right w:val="nil"/>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96.09.10.00.00</w:t>
                  </w:r>
                </w:p>
              </w:tc>
              <w:tc>
                <w:tcPr>
                  <w:tcW w:w="3684" w:type="pct"/>
                  <w:tcBorders>
                    <w:top w:val="nil"/>
                    <w:left w:val="nil"/>
                    <w:bottom w:val="nil"/>
                    <w:right w:val="nil"/>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Lápices de escribir y colorear.</w:t>
                  </w:r>
                </w:p>
              </w:tc>
            </w:tr>
          </w:tbl>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Adicionalmente:</w:t>
            </w:r>
          </w:p>
          <w:p w:rsidR="00563E5A" w:rsidRPr="00563E5A" w:rsidRDefault="00563E5A" w:rsidP="00563E5A">
            <w:pPr>
              <w:jc w:val="both"/>
              <w:rPr>
                <w:rFonts w:ascii="Cambria" w:hAnsi="Cambria"/>
                <w:sz w:val="16"/>
                <w:szCs w:val="16"/>
              </w:rPr>
            </w:pPr>
            <w:r w:rsidRPr="00563E5A">
              <w:rPr>
                <w:rFonts w:ascii="Cambria" w:hAnsi="Cambria"/>
                <w:sz w:val="16"/>
                <w:szCs w:val="16"/>
              </w:rPr>
              <w:t>1. Las materias primas químicas con destino a la producción de plaguicidas e insecticidas de la partida 38.08 y de los fertilizantes de las partidas 31.01 a 31.05 y con destino a la producción de medicamentos de las posiciones 29.36, 29.41, 30.01, 30.03, 30.04 y 30.06.</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2. Las materias primas destinadas a la producción de vacunas para lo cual deberá acreditarse tal condición en la forma como lo señale el reglamento.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3. Todos los productos de soporte nutricional (incluidos los suplementos dietarios y los complementos nutricionales en presentaciones líquidas, sólidas, granuladas, gaseosas, en polvo) del régimen especial destinados a ser administrados por vía enteral, para pacientes con patologías específicas o con condiciones especiales; y los alimentos para propósitos médicos especiales para pacientes que requieren nutrición enteral por sonda a corto o largo plazo. Clasificados por las subpartidas 21.06.90.79.00, 21.06.90.90.00 y 22.02.90.99.00.</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4. Los dispositivos anticonceptivos para uso femenino.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5. Los computadores personales de escritorio o portátiles, cuyo valor no exceda de cincuenta (50)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6. Los dispositivos móviles inteligentes (tabletas y celulares) cuyo valor no exceda de veintidós (22)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7. Los equipos y elementos nacionales o importados que se destinen a la construcción, instalación, montaje y operación de sistemas de control y monitoreo, necesarios para el cumplimiento de las disposiciones, regulaciones y estándares ambientales vigentes, para lo cual deberá acreditarse tal condición ante el Ministerio de Ambiente y Desarrollo Sostenible.</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8. Los alimentos de consumo humano y animal que se importen de los países colindantes a los departamentos de Vichada, Guajira, Guainía y Vaupés, siempre y cuando se destinen exclusivamente al consumo local en esos departamentos.</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9. Los alimentos de consumo humano donados a favor de los bancos de alimentos legalmente constituidos, de acuerdo con la reglamentación que expida el Gobierno nacional.</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10. Los vehículos, automotores, destinados al transporte público de pasajeros, destinados solo a reposición. Tendrán derecho a este beneficio los pequeños transportadores propietarios de menos de 3 vehículos y solo para efectos de la reposición de uno solo, y por una única vez. Este beneficio tendrá una vigencia hasta el año 2019.</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11. Los objetos con interés artístico, cultural e histórico comprados por parte de los museos que integren la Red Nacional de Museos y las entidades públicas que posean o administren estos bienes, estarán exentos del cobro del IVA.</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BC4EFF">
              <w:rPr>
                <w:rFonts w:ascii="Cambria" w:hAnsi="Cambria"/>
                <w:sz w:val="16"/>
                <w:szCs w:val="16"/>
                <w:highlight w:val="yellow"/>
              </w:rPr>
              <w:t>12.  La venta de bienes inmuebles.</w:t>
            </w:r>
            <w:r w:rsidRPr="00563E5A">
              <w:rPr>
                <w:rFonts w:ascii="Cambria" w:hAnsi="Cambria"/>
                <w:sz w:val="16"/>
                <w:szCs w:val="16"/>
              </w:rPr>
              <w:t xml:space="preserve"> </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 xml:space="preserve">13. El consumo humano y animal, vestuario, elementos de aseo y medicamentos para uso humano o veterinario, materiales de construcción que se introduzcan y comercialicen a los departamentos </w:t>
            </w:r>
            <w:r w:rsidRPr="00563E5A">
              <w:rPr>
                <w:rFonts w:ascii="Cambria" w:hAnsi="Cambria"/>
                <w:sz w:val="16"/>
                <w:szCs w:val="16"/>
              </w:rPr>
              <w:lastRenderedPageBreak/>
              <w:t>de Guainía, Guaviare, Vaupés y Vichada, siempre y cuando se destinen exclusivamente al consumo dentro del mismo departamento. El Gobierno nacional reglamentará la materia para garantizar que la exclusión del IVA se aplique en las ventas al consumidor final.</w:t>
            </w:r>
          </w:p>
          <w:p w:rsidR="00563E5A" w:rsidRPr="00563E5A" w:rsidRDefault="00563E5A" w:rsidP="00563E5A">
            <w:pPr>
              <w:jc w:val="both"/>
              <w:rPr>
                <w:rFonts w:ascii="Cambria" w:hAnsi="Cambria"/>
                <w:sz w:val="16"/>
                <w:szCs w:val="16"/>
              </w:rPr>
            </w:pPr>
          </w:p>
          <w:p w:rsidR="00563E5A" w:rsidRDefault="00563E5A" w:rsidP="00563E5A">
            <w:pPr>
              <w:jc w:val="both"/>
              <w:rPr>
                <w:rFonts w:ascii="Cambria" w:hAnsi="Cambria"/>
                <w:sz w:val="16"/>
                <w:szCs w:val="16"/>
              </w:rPr>
            </w:pPr>
          </w:p>
          <w:p w:rsidR="00BC4EFF" w:rsidRPr="00563E5A" w:rsidRDefault="00BC4EFF"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14. El combustible para aviación que se suministre para el servicio de transporte aéreo nacional de pasajeros y de carga con origen y destino a los departamentos de Guainía, Amazonas, Vaupés, San Andrés Islas y Providencia, Arauca y Vichada.</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15. Los productos que se compren o introduzcan al departamento del Amazonas en el marco del convenio Colombo-Peruano y el convenio con la República Federativa del Brasil.</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16. La compraventa de maquinaria y equipos destinados al desarrollo de proyectos o actividades que se encuentren registrados en el Registro Nacional de Reducción de Emisiones de Gases Efecto Invernadero definido en el artículo </w:t>
            </w:r>
            <w:hyperlink r:id="rId54" w:anchor="155" w:history="1">
              <w:r w:rsidRPr="00563E5A">
                <w:rPr>
                  <w:rStyle w:val="Hipervnculo"/>
                  <w:rFonts w:ascii="Cambria" w:hAnsi="Cambria" w:cs="Arial"/>
                  <w:color w:val="0073FF"/>
                  <w:sz w:val="16"/>
                  <w:szCs w:val="16"/>
                </w:rPr>
                <w:t>155</w:t>
              </w:r>
            </w:hyperlink>
            <w:r w:rsidRPr="00563E5A">
              <w:rPr>
                <w:rFonts w:ascii="Cambria" w:hAnsi="Cambria"/>
                <w:sz w:val="16"/>
                <w:szCs w:val="16"/>
              </w:rPr>
              <w:t> de la Ley 1753 de 2015, que generen y certifiquen reducciones de Gases Efecto Invernadero – GEI, según reglamentación que expida el Ministerio de Ambiente y Desarrollo Sostenible.</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La aplicación de este numeral se hará operativa en el momento en que el Ministerio de Ambiente y Desarrollo Sostenible emita las reglamentaciones correspondientes al Registro Nacional de Reducción de Emisiones de Gases Efecto Invernadero. Esto, sin perjuicio del régimen de transición que dicho registro determine para los casos que tengan lugar en el período comprendido entre la entrada en vigor de la presente ley y la operación del registro.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17. Las bicicletas, bicicletas eléctricas, motos eléctricas, patines, monopatines, monopatines eléctricos, patinetas, y patinetas eléctricas, de hasta 50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18. La venta de los bienes facturados por los comerciantes definidos en el parágrafo 2 del artículo </w:t>
            </w:r>
            <w:hyperlink r:id="rId55" w:anchor="34" w:history="1">
              <w:r w:rsidRPr="00563E5A">
                <w:rPr>
                  <w:rStyle w:val="Hipervnculo"/>
                  <w:rFonts w:ascii="Cambria" w:hAnsi="Cambria" w:cs="Arial"/>
                  <w:color w:val="0073FF"/>
                  <w:sz w:val="16"/>
                  <w:szCs w:val="16"/>
                </w:rPr>
                <w:t>34</w:t>
              </w:r>
            </w:hyperlink>
            <w:r w:rsidRPr="00563E5A">
              <w:rPr>
                <w:rFonts w:ascii="Cambria" w:hAnsi="Cambria"/>
                <w:sz w:val="16"/>
                <w:szCs w:val="16"/>
              </w:rPr>
              <w:t> de la Ley 98 de 1993.</w:t>
            </w:r>
          </w:p>
          <w:p w:rsidR="00563E5A" w:rsidRPr="00563E5A" w:rsidRDefault="00563E5A" w:rsidP="00563E5A">
            <w:pPr>
              <w:jc w:val="both"/>
              <w:rPr>
                <w:rStyle w:val="baj"/>
                <w:rFonts w:ascii="Cambria" w:hAnsi="Cambria"/>
                <w:b/>
                <w:bCs/>
                <w:color w:val="000000"/>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19. Incentivos de premio inmediato de juegos de suerte y azar territoriales</w:t>
            </w:r>
          </w:p>
          <w:p w:rsidR="00563E5A" w:rsidRPr="00563E5A" w:rsidRDefault="00563E5A" w:rsidP="00563E5A">
            <w:pPr>
              <w:jc w:val="both"/>
              <w:rPr>
                <w:rStyle w:val="baj"/>
                <w:rFonts w:ascii="Cambria" w:hAnsi="Cambria"/>
                <w:b/>
                <w:bCs/>
                <w:color w:val="000000"/>
                <w:sz w:val="16"/>
                <w:szCs w:val="16"/>
              </w:rPr>
            </w:pPr>
          </w:p>
          <w:p w:rsidR="00563E5A" w:rsidRPr="00563E5A" w:rsidRDefault="00563E5A" w:rsidP="00563E5A">
            <w:pPr>
              <w:jc w:val="both"/>
              <w:rPr>
                <w:rFonts w:ascii="Cambria" w:hAnsi="Cambria"/>
                <w:sz w:val="16"/>
                <w:szCs w:val="16"/>
              </w:rPr>
            </w:pPr>
            <w:r w:rsidRPr="00563E5A">
              <w:rPr>
                <w:rStyle w:val="baj"/>
                <w:rFonts w:ascii="Cambria" w:hAnsi="Cambria"/>
                <w:b/>
                <w:bCs/>
                <w:color w:val="000000"/>
                <w:sz w:val="16"/>
                <w:szCs w:val="16"/>
              </w:rPr>
              <w:t>PARÁGRAFO. </w:t>
            </w:r>
            <w:r w:rsidRPr="00563E5A">
              <w:rPr>
                <w:rFonts w:ascii="Cambria" w:hAnsi="Cambria"/>
                <w:sz w:val="16"/>
                <w:szCs w:val="16"/>
              </w:rPr>
              <w:t>El petróleo crudo recibido por parte de la Agencia Nacional de Hidrocarburos por concepto de pago de regalías para su respectiva monetización.</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PARÁGRAFO 2. Para los efectos del presente artículo y de conformidad con la reglamentación vigente expedida por el Ministerio de Salud y el Instituto Colombiano Agropecuario, se entienden como animales domésticos de compañía los gatos, perros, hurones, conejos, chinchillas, hámster, cobayos, jerbos y Mini-</w:t>
            </w:r>
            <w:proofErr w:type="spellStart"/>
            <w:r w:rsidRPr="00563E5A">
              <w:rPr>
                <w:rFonts w:ascii="Cambria" w:hAnsi="Cambria"/>
                <w:sz w:val="16"/>
                <w:szCs w:val="16"/>
              </w:rPr>
              <w:t>Pigs</w:t>
            </w:r>
            <w:proofErr w:type="spellEnd"/>
            <w:r w:rsidRPr="00563E5A">
              <w:rPr>
                <w:rFonts w:ascii="Cambria" w:hAnsi="Cambria"/>
                <w:sz w:val="16"/>
                <w:szCs w:val="16"/>
              </w:rPr>
              <w:t> </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b/>
                <w:sz w:val="16"/>
                <w:szCs w:val="16"/>
              </w:rPr>
            </w:pPr>
          </w:p>
        </w:tc>
        <w:tc>
          <w:tcPr>
            <w:tcW w:w="4865" w:type="dxa"/>
          </w:tcPr>
          <w:p w:rsidR="00563E5A" w:rsidRDefault="00563E5A" w:rsidP="00563E5A">
            <w:pPr>
              <w:jc w:val="both"/>
              <w:rPr>
                <w:rFonts w:ascii="Cambria" w:hAnsi="Cambria"/>
                <w:sz w:val="16"/>
                <w:szCs w:val="16"/>
              </w:rPr>
            </w:pPr>
            <w:r w:rsidRPr="00563E5A">
              <w:rPr>
                <w:rFonts w:ascii="Cambria" w:hAnsi="Cambria"/>
                <w:b/>
                <w:bCs/>
                <w:color w:val="000000" w:themeColor="text1"/>
                <w:sz w:val="16"/>
                <w:szCs w:val="16"/>
              </w:rPr>
              <w:lastRenderedPageBreak/>
              <w:t xml:space="preserve">Articulo 424. Bienes que no causan el impuesto </w:t>
            </w:r>
            <w:r>
              <w:rPr>
                <w:rFonts w:ascii="Cambria" w:hAnsi="Cambria"/>
                <w:b/>
                <w:bCs/>
                <w:color w:val="000000" w:themeColor="text1"/>
                <w:sz w:val="16"/>
                <w:szCs w:val="16"/>
              </w:rPr>
              <w:t>(</w:t>
            </w:r>
            <w:r w:rsidRPr="00563E5A">
              <w:rPr>
                <w:rFonts w:ascii="Cambria" w:hAnsi="Cambria"/>
                <w:b/>
                <w:bCs/>
                <w:color w:val="FF0000"/>
                <w:sz w:val="16"/>
                <w:szCs w:val="16"/>
              </w:rPr>
              <w:t xml:space="preserve">modificado con artículo 95 proyecto de </w:t>
            </w:r>
            <w:r w:rsidR="00FB60A2">
              <w:rPr>
                <w:rFonts w:ascii="Cambria" w:hAnsi="Cambria"/>
                <w:b/>
                <w:bCs/>
                <w:color w:val="FF0000"/>
                <w:sz w:val="16"/>
                <w:szCs w:val="16"/>
              </w:rPr>
              <w:t>Ley de septiembre de 2025</w:t>
            </w:r>
            <w:r w:rsidRPr="00563E5A">
              <w:rPr>
                <w:rFonts w:ascii="Cambria" w:hAnsi="Cambria"/>
                <w:b/>
                <w:bCs/>
                <w:color w:val="FF0000"/>
                <w:sz w:val="16"/>
                <w:szCs w:val="16"/>
              </w:rPr>
              <w:t>)</w:t>
            </w:r>
            <w:r>
              <w:rPr>
                <w:rFonts w:ascii="Cambria" w:hAnsi="Cambria"/>
                <w:b/>
                <w:bCs/>
                <w:color w:val="000000" w:themeColor="text1"/>
                <w:sz w:val="16"/>
                <w:szCs w:val="16"/>
              </w:rPr>
              <w:t xml:space="preserve"> </w:t>
            </w:r>
            <w:r w:rsidRPr="00563E5A">
              <w:rPr>
                <w:rFonts w:ascii="Cambria" w:hAnsi="Cambria"/>
                <w:sz w:val="16"/>
                <w:szCs w:val="16"/>
              </w:rPr>
              <w:t>Los siguientes bienes se hallan excluidos del impuesto y por consiguiente su venta o importación no causa el impuesto sobre las ventas. Para tal efecto se utiliza la nomenclatura arancelaria Andina vigente</w:t>
            </w:r>
            <w:r>
              <w:rPr>
                <w:rFonts w:ascii="Cambria" w:hAnsi="Cambria"/>
                <w:sz w:val="16"/>
                <w:szCs w:val="16"/>
              </w:rPr>
              <w:t xml:space="preserve">: </w:t>
            </w:r>
          </w:p>
          <w:p w:rsidR="00563E5A" w:rsidRPr="00563E5A" w:rsidRDefault="00563E5A" w:rsidP="00563E5A">
            <w:pPr>
              <w:jc w:val="both"/>
              <w:rPr>
                <w:rFonts w:ascii="Cambria" w:hAnsi="Cambria"/>
                <w:vanish/>
                <w:sz w:val="16"/>
                <w:szCs w:val="16"/>
              </w:rPr>
            </w:pPr>
            <w:r>
              <w:rPr>
                <w:rFonts w:ascii="Cambria" w:hAnsi="Cambria"/>
                <w:sz w:val="16"/>
                <w:szCs w:val="16"/>
              </w:rPr>
              <w:t xml:space="preserve"> </w:t>
            </w:r>
            <w:r w:rsidRPr="00563E5A">
              <w:rPr>
                <w:rFonts w:ascii="Cambria" w:hAnsi="Cambria"/>
                <w:vanish/>
                <w:sz w:val="16"/>
                <w:szCs w:val="16"/>
              </w:rPr>
              <w:t xml:space="preserve"> </w:t>
            </w:r>
          </w:p>
          <w:tbl>
            <w:tblPr>
              <w:tblW w:w="4420" w:type="dxa"/>
              <w:tblCellSpacing w:w="15" w:type="dxa"/>
              <w:tblCellMar>
                <w:top w:w="15" w:type="dxa"/>
                <w:left w:w="15" w:type="dxa"/>
                <w:bottom w:w="15" w:type="dxa"/>
                <w:right w:w="15" w:type="dxa"/>
              </w:tblCellMar>
              <w:tblLook w:val="04A0" w:firstRow="1" w:lastRow="0" w:firstColumn="1" w:lastColumn="0" w:noHBand="0" w:noVBand="1"/>
            </w:tblPr>
            <w:tblGrid>
              <w:gridCol w:w="1118"/>
              <w:gridCol w:w="3302"/>
            </w:tblGrid>
            <w:tr w:rsidR="00563E5A" w:rsidRPr="00563E5A" w:rsidTr="009708F4">
              <w:trPr>
                <w:tblCellSpacing w:w="15" w:type="dxa"/>
              </w:trPr>
              <w:tc>
                <w:tcPr>
                  <w:tcW w:w="1214" w:type="pct"/>
                  <w:tcBorders>
                    <w:top w:val="single" w:sz="4"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01.03</w:t>
                  </w:r>
                </w:p>
              </w:tc>
              <w:tc>
                <w:tcPr>
                  <w:tcW w:w="3684" w:type="pct"/>
                  <w:tcBorders>
                    <w:top w:val="single" w:sz="4"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Animales vivos de la especie porcina.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01.04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Animales vivos de las especies ovina o caprina.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01.05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Gallos, gallinas, patos, gansos, pavos (gallipavos) y pintadas, de las especies domésticas, vivos.</w:t>
                  </w:r>
                </w:p>
              </w:tc>
            </w:tr>
            <w:tr w:rsidR="00563E5A" w:rsidRPr="00563E5A" w:rsidTr="009708F4">
              <w:trPr>
                <w:tblCellSpacing w:w="15" w:type="dxa"/>
              </w:trPr>
              <w:tc>
                <w:tcPr>
                  <w:tcW w:w="1214" w:type="pct"/>
                  <w:tcBorders>
                    <w:top w:val="single" w:sz="6" w:space="0" w:color="auto"/>
                    <w:left w:val="single" w:sz="4" w:space="0" w:color="auto"/>
                    <w:bottom w:val="single" w:sz="4"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01.06</w:t>
                  </w:r>
                </w:p>
              </w:tc>
              <w:tc>
                <w:tcPr>
                  <w:tcW w:w="3684" w:type="pct"/>
                  <w:tcBorders>
                    <w:top w:val="single" w:sz="6" w:space="0" w:color="auto"/>
                    <w:left w:val="single" w:sz="6" w:space="0" w:color="auto"/>
                    <w:bottom w:val="single" w:sz="4"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animales vivos, excepto los animales domésticos de compañía</w:t>
                  </w:r>
                </w:p>
              </w:tc>
            </w:tr>
            <w:tr w:rsidR="00563E5A" w:rsidRPr="00563E5A" w:rsidTr="009708F4">
              <w:trPr>
                <w:tblCellSpacing w:w="15" w:type="dxa"/>
              </w:trPr>
              <w:tc>
                <w:tcPr>
                  <w:tcW w:w="1214" w:type="pct"/>
                  <w:tcBorders>
                    <w:top w:val="single" w:sz="4"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03.01</w:t>
                  </w:r>
                </w:p>
              </w:tc>
              <w:tc>
                <w:tcPr>
                  <w:tcW w:w="3684" w:type="pct"/>
                  <w:tcBorders>
                    <w:top w:val="single" w:sz="4"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Peces vivos, excepto los peces ornamentales de las posiciones 03.01.11.00.00 y 03.01.19.00.00.</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Albacoras o atunes blancos.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Atunes de aleta amarilla (rabiles).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03.03.45.00.00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Atunes comunes o de aleta azul, del Atlántico y del Pacífico.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03.05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Pescado seco, salado o en salmuera, pescado ahumado, incluso cocido antes o durante el ahumado, harina, polvo y "pellets" de pescado, aptos para la alimentación humana.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04.04.90.00.00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constituidos por los componentes naturales de la leche.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04.09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Miel natural.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05.11.10.00.00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Semen de Bovino.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Bulbos, cebollas, tubérculos, raíces y bulbos tuberosos, turiones y rizomas, en reposo vegetativo, en vegetación o en flor, plantas y raíces de achicoria, excepto las raíces de la partida 12.12.</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06.02.90.90.00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plantas vivas (incluidas sus raíces), esquejes e injertos; micelios.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06.02.20.00.00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Plántulas para la siembra, incluso de especies forestales maderables.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Papas (patatas)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Tomates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Cebollas, chalotes, ajos, puerros y demás hortalizas aliáceas,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Coles, incluidos los repollos, coliflores, coles rizadas, colinabos y productos comestibles similares del género </w:t>
                  </w:r>
                  <w:proofErr w:type="spellStart"/>
                  <w:r w:rsidRPr="00563E5A">
                    <w:rPr>
                      <w:rFonts w:ascii="Cambria" w:hAnsi="Cambria"/>
                      <w:sz w:val="16"/>
                      <w:szCs w:val="16"/>
                    </w:rPr>
                    <w:t>Brassica</w:t>
                  </w:r>
                  <w:proofErr w:type="spellEnd"/>
                  <w:r w:rsidRPr="00563E5A">
                    <w:rPr>
                      <w:rFonts w:ascii="Cambria" w:hAnsi="Cambria"/>
                      <w:sz w:val="16"/>
                      <w:szCs w:val="16"/>
                    </w:rPr>
                    <w:t>,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Lechugas (Lactuca sativa) y achicorias, comprendidas la escarola y la endibia (</w:t>
                  </w:r>
                  <w:proofErr w:type="spellStart"/>
                  <w:r w:rsidRPr="00563E5A">
                    <w:rPr>
                      <w:rFonts w:ascii="Cambria" w:hAnsi="Cambria"/>
                      <w:sz w:val="16"/>
                      <w:szCs w:val="16"/>
                    </w:rPr>
                    <w:t>Cichoriumspp</w:t>
                  </w:r>
                  <w:proofErr w:type="spellEnd"/>
                  <w:r w:rsidRPr="00563E5A">
                    <w:rPr>
                      <w:rFonts w:ascii="Cambria" w:hAnsi="Cambria"/>
                      <w:sz w:val="16"/>
                      <w:szCs w:val="16"/>
                    </w:rPr>
                    <w:t>.),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Zanahorias, nabos, remolachas para ensalada, </w:t>
                  </w:r>
                  <w:proofErr w:type="spellStart"/>
                  <w:r w:rsidRPr="00563E5A">
                    <w:rPr>
                      <w:rFonts w:ascii="Cambria" w:hAnsi="Cambria"/>
                      <w:sz w:val="16"/>
                      <w:szCs w:val="16"/>
                    </w:rPr>
                    <w:t>salsifies</w:t>
                  </w:r>
                  <w:proofErr w:type="spellEnd"/>
                  <w:r w:rsidRPr="00563E5A">
                    <w:rPr>
                      <w:rFonts w:ascii="Cambria" w:hAnsi="Cambria"/>
                      <w:sz w:val="16"/>
                      <w:szCs w:val="16"/>
                    </w:rPr>
                    <w:t xml:space="preserve">, </w:t>
                  </w:r>
                  <w:proofErr w:type="spellStart"/>
                  <w:r w:rsidRPr="00563E5A">
                    <w:rPr>
                      <w:rFonts w:ascii="Cambria" w:hAnsi="Cambria"/>
                      <w:sz w:val="16"/>
                      <w:szCs w:val="16"/>
                    </w:rPr>
                    <w:t>apionabos</w:t>
                  </w:r>
                  <w:proofErr w:type="spellEnd"/>
                  <w:r w:rsidRPr="00563E5A">
                    <w:rPr>
                      <w:rFonts w:ascii="Cambria" w:hAnsi="Cambria"/>
                      <w:sz w:val="16"/>
                      <w:szCs w:val="16"/>
                    </w:rPr>
                    <w:t>, rábanos y raíces comestibles similares,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Pepinos y pepinillos, frescos o refrigerados.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de vaina, aunque estén desvainadas,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hortalizas, frescas o refrigeradas.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secas, incluidas las cortadas en trozos o en rodajas o las trituradas o pulverizadas, pero sin otra preparación.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Hortalizas de vaina secas desvainadas, aunque estén mondadas o partidas.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07.14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Raíces de yuca (mandioca), arrurruz o salep, aguaturmas (patacas), camotes (batatas, boniatos) y raíces y tubérculos similares ricos en fécula o inulina, frescos, refrigerados, </w:t>
                  </w:r>
                  <w:r w:rsidRPr="00563E5A">
                    <w:rPr>
                      <w:rFonts w:ascii="Cambria" w:hAnsi="Cambria"/>
                      <w:sz w:val="16"/>
                      <w:szCs w:val="16"/>
                    </w:rPr>
                    <w:lastRenderedPageBreak/>
                    <w:t>congelados o secos, incluso troceados o en "pellets", médula de sagú.</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08.01.12.00.00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Cocos con la cáscara interna (endocarpio)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08.01.19.00.00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cocos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Bananas, incluidos los plátanos "</w:t>
                  </w:r>
                  <w:proofErr w:type="spellStart"/>
                  <w:r w:rsidRPr="00563E5A">
                    <w:rPr>
                      <w:rFonts w:ascii="Cambria" w:hAnsi="Cambria"/>
                      <w:sz w:val="16"/>
                      <w:szCs w:val="16"/>
                    </w:rPr>
                    <w:t>plantains</w:t>
                  </w:r>
                  <w:proofErr w:type="spellEnd"/>
                  <w:r w:rsidRPr="00563E5A">
                    <w:rPr>
                      <w:rFonts w:ascii="Cambria" w:hAnsi="Cambria"/>
                      <w:sz w:val="16"/>
                      <w:szCs w:val="16"/>
                    </w:rPr>
                    <w:t>",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Dátiles, higos, piñas (ananás), aguacates (paltas), guayabas, mangos y mangostanes,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Agrios (cítricos) frescos o secos.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Uvas, frescas o secas, incluidas las pasas.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Melones, sandías y papayas,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Manzanas, peras y membrillos,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Damascos (albaricoques, chabacanos), cerezas, duraznos (melocotones) (incluidos los griñones nectarines), ciruelas y endrinas,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08.10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frutas u otros frutos, frescos.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09.01.11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Café en grano sin tostar, cáscara y cascarilla de café.</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09.09.21.10.00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cilantro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10.01.11.00.00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Trigo duro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10.01.91.00.00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semillas de trigo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10.02.10.00.00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Centeno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Cebada.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Avena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10.05.10.00.00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10.05.90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Arroz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Arroz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10.06.10.90.00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Arroz con cáscara (Arroz </w:t>
                  </w:r>
                  <w:proofErr w:type="spellStart"/>
                  <w:r w:rsidRPr="00563E5A">
                    <w:rPr>
                      <w:rFonts w:ascii="Cambria" w:hAnsi="Cambria"/>
                      <w:sz w:val="16"/>
                      <w:szCs w:val="16"/>
                    </w:rPr>
                    <w:t>Paddy</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10.07.10.00.00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Sorgo de grano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11.04.23.00.00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Maíz trillado para consumo humano.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12.01.10.00.00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Habas de soya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12.02.30.00.00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Maníes (cacahuetes, cacahuates)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Copra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12.04.00.10.00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lino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nabo (nabina) o de colza para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12.06.00.10.00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girasol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nueces y almendras de palma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algodón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12.07.30.10.00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ricino para la siembra. I</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12.07.40.10.00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sésamo (ajonjolí)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12.07.50.10.00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mostaza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12.07.60.10.00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cártamo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12.07.70.10.00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de melón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12.07.99.10.00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semillas y frutos oleaginosos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12.09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Semillas, frutos y esporas, para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12.12.93.00.00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Caña de azúcar.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17.01.13.00.00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Chancaca (panela, raspadura) Obtenida de la extracción y evaporación en forma artesanal de los jugos de caña de azúcar en trapiches paneleros.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18.01.00.11.00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Cacao en grano para la siembra.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18.01.00.19.00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Cacao en grano crudo.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19.01.10.91.00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Únicamente la </w:t>
                  </w:r>
                  <w:proofErr w:type="spellStart"/>
                  <w:r w:rsidRPr="00563E5A">
                    <w:rPr>
                      <w:rFonts w:ascii="Cambria" w:hAnsi="Cambria"/>
                      <w:sz w:val="16"/>
                      <w:szCs w:val="16"/>
                    </w:rPr>
                    <w:t>Bienestarina</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19.01.90.20.00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alimenticios elaborados de manera artesanal a base de leche.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19.05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Pan horneado o cocido y producido a base principalmente de harinas de cereales, con o sin levadura, sal o dulce, sea integral o no, sin que para el efecto importe la forma dada al pan, ni la proporción de las harinas de cereales utilizadas en su preparación, ni el grado de cocción, incluida la arepa de maíz.</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20.07</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Productos alimenticios elaborados de manera artesanal a base de guayaba.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22.01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Agua, incluidas el agua mineral natural o artificial y la gaseada, sin adición de azúcar u otro edulcorante ni aromatizada, hielo y nieve.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Sal (incluidas la de mesa y la desnaturalizada) y cloruro de sodio puro, incluso en disolución acuosa o con adición de </w:t>
                  </w:r>
                  <w:proofErr w:type="spellStart"/>
                  <w:r w:rsidRPr="00563E5A">
                    <w:rPr>
                      <w:rFonts w:ascii="Cambria" w:hAnsi="Cambria"/>
                      <w:sz w:val="16"/>
                      <w:szCs w:val="16"/>
                    </w:rPr>
                    <w:t>antiaglomerantes</w:t>
                  </w:r>
                  <w:proofErr w:type="spellEnd"/>
                  <w:r w:rsidRPr="00563E5A">
                    <w:rPr>
                      <w:rFonts w:ascii="Cambria" w:hAnsi="Cambria"/>
                      <w:sz w:val="16"/>
                      <w:szCs w:val="16"/>
                    </w:rPr>
                    <w:t xml:space="preserve"> o de agentes que garanticen una buena fluidez, agua de mar.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Azufre de cualquier clase, excepto el sublimado, el precipitado y el coloidal.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Fosfatos de calcio naturales, fosfatos </w:t>
                  </w:r>
                  <w:proofErr w:type="spellStart"/>
                  <w:r w:rsidRPr="00563E5A">
                    <w:rPr>
                      <w:rFonts w:ascii="Cambria" w:hAnsi="Cambria"/>
                      <w:sz w:val="16"/>
                      <w:szCs w:val="16"/>
                    </w:rPr>
                    <w:t>aluminocálcicos</w:t>
                  </w:r>
                  <w:proofErr w:type="spellEnd"/>
                  <w:r w:rsidRPr="00563E5A">
                    <w:rPr>
                      <w:rFonts w:ascii="Cambria" w:hAnsi="Cambria"/>
                      <w:sz w:val="16"/>
                      <w:szCs w:val="16"/>
                    </w:rPr>
                    <w:t xml:space="preserve"> naturales y cretas fosfatadas.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25.18.10.00.00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Dolomita sin calcinar ni sintetizar, llamada "cruda". Cal dolomita inorgánica para uso agrícola como fertilizante.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Hullas, briquetas, ovoides y combustibles sólidos similares, obtenidos de la hulla.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27.04.00.10.00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Coques y semicoques de hulla.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27.04.00.20.00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Coques y semicoques de lignito o turba.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Gas natural licuado.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Gas propano, incluido el </w:t>
                  </w:r>
                  <w:proofErr w:type="spellStart"/>
                  <w:r w:rsidRPr="00563E5A">
                    <w:rPr>
                      <w:rFonts w:ascii="Cambria" w:hAnsi="Cambria"/>
                      <w:sz w:val="16"/>
                      <w:szCs w:val="16"/>
                    </w:rPr>
                    <w:t>autogás</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27.11.13.00.00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Butanos licuados.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Gas natural en estado gaseoso, incluido el biogás.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27.11.29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Gas propano en estado gaseoso y gas butano en estado gaseoso, incluido el </w:t>
                  </w:r>
                  <w:proofErr w:type="spellStart"/>
                  <w:r w:rsidRPr="00563E5A">
                    <w:rPr>
                      <w:rFonts w:ascii="Cambria" w:hAnsi="Cambria"/>
                      <w:sz w:val="16"/>
                      <w:szCs w:val="16"/>
                    </w:rPr>
                    <w:t>autogás</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27.16</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Energía eléctrica.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28.44.40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Material radiactivo para uso médico.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30.05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Guatas, gasas, vendas y artículos análogos (por ejemplo: apósitos, esparadrapos, sinapismos), impregnados o recubiertos de sustancias farmacéuticas o acondicionados para la venta al </w:t>
                  </w:r>
                  <w:r w:rsidRPr="00563E5A">
                    <w:rPr>
                      <w:rFonts w:ascii="Cambria" w:hAnsi="Cambria"/>
                      <w:sz w:val="16"/>
                      <w:szCs w:val="16"/>
                    </w:rPr>
                    <w:lastRenderedPageBreak/>
                    <w:t>por menor con fines médicos, quirúrgicos, odontológicos o veterinarios.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31.01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de origen animal o vegetal, incluso mezclados entre sí o tratados químicamente, abonos procedentes de la mezcla o del tratamiento químico de productos de origen animal o vegetal.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31.02</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nitrogenados.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fosfatados.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31.04</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potásicos.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31.05</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Abonos minerales o químicos, con dos o tres de los elementos fertilizantes: nitrógeno, fósforo y potasio, los demás abonos, productos de este capítulo en tabletas o formas similares o en envases de un peso bruto inferior o igual a 10 kg.</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38.08</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Insecticidas, raticidas y demás </w:t>
                  </w:r>
                  <w:proofErr w:type="spellStart"/>
                  <w:r w:rsidRPr="00563E5A">
                    <w:rPr>
                      <w:rFonts w:ascii="Cambria" w:hAnsi="Cambria"/>
                      <w:sz w:val="16"/>
                      <w:szCs w:val="16"/>
                    </w:rPr>
                    <w:t>antirroedores</w:t>
                  </w:r>
                  <w:proofErr w:type="spellEnd"/>
                  <w:r w:rsidRPr="00563E5A">
                    <w:rPr>
                      <w:rFonts w:ascii="Cambria" w:hAnsi="Cambria"/>
                      <w:sz w:val="16"/>
                      <w:szCs w:val="16"/>
                    </w:rPr>
                    <w:t>, fungicidas, herbicidas, inhibidores de germinación y reguladores del crecimiento de las plantas, desinfectantes y productos similares, presentados en formas o en envases para la venta al por menor, o como preparaciones o artículos, tales como cintas, mechas y velas azufradas y papeles matamoscas.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38.22.00.90.00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Reactivos de diagnóstico sobre cualquier soporte y reactivos de diagnóstico preparados, incluso sobre soporte.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Caucho natural.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40.11.70.00.00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Neumáticos de los tipos utilizados en vehículos y máquinas agrícolas o forestales.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40.14.10.00.00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Preservativos.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48.01.00.00.00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Papel prensa en bobinas (rollos) o en hojas.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48.02.61.90.00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papeles prensa en bobinas (rollos)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53.05.00.90.00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Pita (Cabuya,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53.11.00.00.00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Tejidos de las demás fibras textiles vegetales.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56.08.11.00.00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Redes confeccionadas para la pesca.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59.11.90.90.00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Empaques de yute, cáñamo y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63.05.10.10.00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yute.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63.05.90.10.00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pita (cabuya, fique).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63.05.90.90.00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Sacos (bolsas) y talegas, para envasar de cáñamo.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69.04.10.00.00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Ladrillos de construcción y bloques de calicanto, de arcilla, y con base en cemento, bloques de arcilla </w:t>
                  </w:r>
                  <w:proofErr w:type="spellStart"/>
                  <w:r w:rsidRPr="00563E5A">
                    <w:rPr>
                      <w:rFonts w:ascii="Cambria" w:hAnsi="Cambria"/>
                      <w:sz w:val="16"/>
                      <w:szCs w:val="16"/>
                    </w:rPr>
                    <w:t>silvocalcarea</w:t>
                  </w:r>
                  <w:proofErr w:type="spellEnd"/>
                  <w:r w:rsidRPr="00563E5A">
                    <w:rPr>
                      <w:rFonts w:ascii="Cambria" w:hAnsi="Cambria"/>
                      <w:sz w:val="16"/>
                      <w:szCs w:val="16"/>
                    </w:rPr>
                    <w:t>.</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71.18.90.00.00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Monedas de curso legal.</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84.07.21.00.00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Motores fuera de borda, hasta 115HP.</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84.08.10.00.00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Motores Diésel hasta 150H P.</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84.24.82.21.00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Sistemas de riego por goteo o aspersión.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84.24.82.29.00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Los demás sistemas de riego.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84.24.90.10.00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Aspersores y goteros, para sistemas de riego.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Guadañadoras, incluidas las barras de corte para montar sobre un tractor.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84.33.30.00.00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henificar.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84.33.40.00.00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Prensas para paja o forraje, incluidas las prensas recogedoras.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84.33.51.00.00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Cosechadoras-trilladoras.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84.33.52.00.00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trillar.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84.33.53.00.00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de cosechar raíces o tubérculos.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84.33.59</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de cosechar, máquinas y aparatos de trillar.</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84.33.60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para limpieza o clasificación de huevos, frutos o demás productos agrícolas.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84.33.90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de máquinas, aparatos y artefactos de cosechar o trillar, incluidas las prensas para paja o forraje, cortadoras de césped y guadañadoras, máquinas para limpieza o clasificación de huevos, frutos o demás productos agrícolas, excepto las de la partida 84.37.</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84.36.10.00.00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y aparatos para preparar alimentos o piensos para animales.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84.36.80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Las demás máquinas y aparatos para uso agropecuario.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84.36.99.00.00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de las demás máquinas y aparatos para uso agropecuario.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84.37.10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Máquinas para limpieza, clasificación o cribado de semillas, granos u hortalizas de vaina secas.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87.01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Tractores para uso agropecuario de las partidas 87.01.91.00.00, 87.01.92.00.00, 87.01.93.00.00, 87.01.94.00.00, 87.01.95.00.00.</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87.13</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Sillones de ruedas y demás vehículos para inválidos, incluso con motor u otro mecanismo de propulsión.</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87.14.20.00.00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Partes y accesorios de sillones de ruedas y demás vehículos para inválidos de la partida 87.13.</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87.16.20.00.00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Remolques y semirremolques, </w:t>
                  </w:r>
                  <w:proofErr w:type="spellStart"/>
                  <w:r w:rsidRPr="00563E5A">
                    <w:rPr>
                      <w:rFonts w:ascii="Cambria" w:hAnsi="Cambria"/>
                      <w:sz w:val="16"/>
                      <w:szCs w:val="16"/>
                    </w:rPr>
                    <w:t>autocargadores</w:t>
                  </w:r>
                  <w:proofErr w:type="spellEnd"/>
                  <w:r w:rsidRPr="00563E5A">
                    <w:rPr>
                      <w:rFonts w:ascii="Cambria" w:hAnsi="Cambria"/>
                      <w:sz w:val="16"/>
                      <w:szCs w:val="16"/>
                    </w:rPr>
                    <w:t xml:space="preserve"> o </w:t>
                  </w:r>
                  <w:proofErr w:type="spellStart"/>
                  <w:r w:rsidRPr="00563E5A">
                    <w:rPr>
                      <w:rFonts w:ascii="Cambria" w:hAnsi="Cambria"/>
                      <w:sz w:val="16"/>
                      <w:szCs w:val="16"/>
                    </w:rPr>
                    <w:t>autodescargadores</w:t>
                  </w:r>
                  <w:proofErr w:type="spellEnd"/>
                  <w:r w:rsidRPr="00563E5A">
                    <w:rPr>
                      <w:rFonts w:ascii="Cambria" w:hAnsi="Cambria"/>
                      <w:sz w:val="16"/>
                      <w:szCs w:val="16"/>
                    </w:rPr>
                    <w:t>, para uso agrícola.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90.01.30.00.00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contacto.</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90.01.40.00.00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vidrio para gafas.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90.01.50.00.00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Lentes de otras materias para gafas.</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90.18.39.00.00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Catéteres y catéteres peritoneales y equipos para la infusión de líquidos y filtros para diálisis renal de esta subpartida.</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90.18.90.90.00</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Equipos para la infusión de sangre.</w:t>
                  </w:r>
                </w:p>
              </w:tc>
            </w:tr>
            <w:tr w:rsidR="00563E5A" w:rsidRPr="00563E5A" w:rsidTr="009708F4">
              <w:trPr>
                <w:tblCellSpacing w:w="15" w:type="dxa"/>
              </w:trPr>
              <w:tc>
                <w:tcPr>
                  <w:tcW w:w="1214" w:type="pct"/>
                  <w:tcBorders>
                    <w:top w:val="single" w:sz="6" w:space="0" w:color="auto"/>
                    <w:left w:val="single" w:sz="4" w:space="0" w:color="auto"/>
                    <w:bottom w:val="single" w:sz="6" w:space="0" w:color="auto"/>
                    <w:right w:val="single" w:sz="6"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90.21</w:t>
                  </w:r>
                </w:p>
              </w:tc>
              <w:tc>
                <w:tcPr>
                  <w:tcW w:w="3684" w:type="pct"/>
                  <w:tcBorders>
                    <w:top w:val="single" w:sz="6" w:space="0" w:color="auto"/>
                    <w:left w:val="single" w:sz="6" w:space="0" w:color="auto"/>
                    <w:bottom w:val="single" w:sz="6" w:space="0" w:color="auto"/>
                    <w:right w:val="single" w:sz="4" w:space="0" w:color="auto"/>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 xml:space="preserve">Artículos y aparatos de ortopedia, incluidas las fajas y vendajes </w:t>
                  </w:r>
                  <w:proofErr w:type="spellStart"/>
                  <w:r w:rsidRPr="00563E5A">
                    <w:rPr>
                      <w:rFonts w:ascii="Cambria" w:hAnsi="Cambria"/>
                      <w:sz w:val="16"/>
                      <w:szCs w:val="16"/>
                    </w:rPr>
                    <w:t>médicoquirúrgicos</w:t>
                  </w:r>
                  <w:proofErr w:type="spellEnd"/>
                  <w:r w:rsidRPr="00563E5A">
                    <w:rPr>
                      <w:rFonts w:ascii="Cambria" w:hAnsi="Cambria"/>
                      <w:sz w:val="16"/>
                      <w:szCs w:val="16"/>
                    </w:rPr>
                    <w:t xml:space="preserve"> y las muletas tablillas, férulas u otros artículos y aparatos para fracturas, artículos y aparatos de prótesis, audífonos y demás aparatos que lleve la propia persona o se le implanten para compensar un defecto o incapacidad. Las impresoras braille, máquinas inteligentes de lectura para ciegos, software lector de pantalla para ciegos, estereotipadoras braille, líneas braille, regletas braille, cajas aritméticas y de dibujo braille, elementos manuales o mecánicos de escritura del sistema braille, así </w:t>
                  </w:r>
                  <w:r w:rsidRPr="00563E5A">
                    <w:rPr>
                      <w:rFonts w:ascii="Cambria" w:hAnsi="Cambria"/>
                      <w:sz w:val="16"/>
                      <w:szCs w:val="16"/>
                    </w:rPr>
                    <w:lastRenderedPageBreak/>
                    <w:t>como los bastones para ciegos aunque estén dotados de tecnología, contenidos en esta partida arancelaria.</w:t>
                  </w:r>
                </w:p>
              </w:tc>
            </w:tr>
            <w:tr w:rsidR="00563E5A" w:rsidRPr="00563E5A" w:rsidTr="009708F4">
              <w:trPr>
                <w:tblCellSpacing w:w="15" w:type="dxa"/>
              </w:trPr>
              <w:tc>
                <w:tcPr>
                  <w:tcW w:w="1214" w:type="pct"/>
                  <w:tcBorders>
                    <w:top w:val="nil"/>
                    <w:left w:val="nil"/>
                    <w:bottom w:val="nil"/>
                    <w:right w:val="nil"/>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lastRenderedPageBreak/>
                    <w:t>96.09.10.00.00</w:t>
                  </w:r>
                </w:p>
              </w:tc>
              <w:tc>
                <w:tcPr>
                  <w:tcW w:w="3684" w:type="pct"/>
                  <w:tcBorders>
                    <w:top w:val="nil"/>
                    <w:left w:val="nil"/>
                    <w:bottom w:val="nil"/>
                    <w:right w:val="nil"/>
                  </w:tcBorders>
                  <w:hideMark/>
                </w:tcPr>
                <w:p w:rsidR="00563E5A" w:rsidRPr="00563E5A" w:rsidRDefault="00563E5A" w:rsidP="00563E5A">
                  <w:pPr>
                    <w:jc w:val="both"/>
                    <w:rPr>
                      <w:rFonts w:ascii="Cambria" w:hAnsi="Cambria"/>
                      <w:sz w:val="16"/>
                      <w:szCs w:val="16"/>
                    </w:rPr>
                  </w:pPr>
                  <w:r w:rsidRPr="00563E5A">
                    <w:rPr>
                      <w:rFonts w:ascii="Cambria" w:hAnsi="Cambria"/>
                      <w:sz w:val="16"/>
                      <w:szCs w:val="16"/>
                    </w:rPr>
                    <w:t>Lápices de escribir y colorear.</w:t>
                  </w:r>
                </w:p>
              </w:tc>
            </w:tr>
          </w:tbl>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Adicionalmente:</w:t>
            </w:r>
          </w:p>
          <w:p w:rsidR="00563E5A" w:rsidRPr="00563E5A" w:rsidRDefault="00563E5A" w:rsidP="00563E5A">
            <w:pPr>
              <w:jc w:val="both"/>
              <w:rPr>
                <w:rFonts w:ascii="Cambria" w:hAnsi="Cambria"/>
                <w:sz w:val="16"/>
                <w:szCs w:val="16"/>
              </w:rPr>
            </w:pPr>
            <w:r w:rsidRPr="00563E5A">
              <w:rPr>
                <w:rFonts w:ascii="Cambria" w:hAnsi="Cambria"/>
                <w:sz w:val="16"/>
                <w:szCs w:val="16"/>
              </w:rPr>
              <w:t>1. Las materias primas químicas con destino a la producción de plaguicidas e insecticidas de la partida 38.08 y de los fertilizantes de las partidas 31.01 a 31.05 y con destino a la producción de medicamentos de las posiciones 29.36, 29.41, 30.01, 30.03, 30.04 y 30.06.</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2. Las materias primas destinadas a la producción de vacunas para lo cual deberá acreditarse tal condición en la forma como lo señale el reglamento.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3. Todos los productos de soporte nutricional (incluidos los suplementos dietarios y los complementos nutricionales en presentaciones líquidas, sólidas, granuladas, gaseosas, en polvo) del régimen especial destinados a ser administrados por vía enteral, para pacientes con patologías específicas o con condiciones especiales; y los alimentos para propósitos médicos especiales para pacientes que requieren nutrición enteral por sonda a corto o largo plazo. Clasificados por las subpartidas 21.06.90.79.00, 21.06.90.90.00 y 22.02.90.99.00.</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4. Los dispositivos anticonceptivos para uso femenino.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5. Los computadores personales de escritorio o portátiles, cuyo valor no exceda de cincuenta (50)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6. Los dispositivos móviles inteligentes (tabletas y celulares) cuyo valor no exceda de veintidós (22)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7. Los equipos y elementos nacionales o importados que se destinen a la construcción, instalación, montaje y operación de sistemas de control y monitoreo, necesarios para el cumplimiento de las disposiciones, regulaciones y estándares ambientales vigentes, para lo cual deberá acreditarse tal condición ante el Ministerio de Ambiente y Desarrollo Sostenible.</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8. Los alimentos de consumo humano y animal que se importen de los países colindantes a los departamentos de Vichada, Guajira, Guainía y Vaupés, siempre y cuando se destinen exclusivamente al consumo local en esos departamentos.</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9. Los alimentos de consumo humano donados a favor de los bancos de alimentos legalmente constituidos, de acuerdo con la reglamentación que expida el Gobierno nacional.</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10. Los vehículos, automotores, destinados al transporte público de pasajeros, destinados solo a reposición. Tendrán derecho a este beneficio los pequeños transportadores propietarios de menos de 3 vehículos y solo para efectos de la reposición de uno solo, y por una única vez. Este beneficio tendrá una vigencia hasta el año 2019.</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11. Los objetos con interés artístico, cultural e histórico comprados por parte de los museos que integren la Red Nacional de Museos y las entidades públicas que posean o administren estos bienes, estarán exentos del cobro del IVA.</w:t>
            </w:r>
          </w:p>
          <w:p w:rsidR="00563E5A" w:rsidRPr="00563E5A" w:rsidRDefault="00563E5A" w:rsidP="00563E5A">
            <w:pPr>
              <w:jc w:val="both"/>
              <w:rPr>
                <w:rFonts w:ascii="Cambria" w:hAnsi="Cambria"/>
                <w:sz w:val="16"/>
                <w:szCs w:val="16"/>
              </w:rPr>
            </w:pPr>
          </w:p>
          <w:p w:rsidR="00563E5A" w:rsidRDefault="00BC4EFF" w:rsidP="00563E5A">
            <w:pPr>
              <w:jc w:val="both"/>
              <w:rPr>
                <w:rFonts w:ascii="Cambria" w:hAnsi="Cambria"/>
                <w:sz w:val="16"/>
                <w:szCs w:val="16"/>
              </w:rPr>
            </w:pPr>
            <w:r>
              <w:rPr>
                <w:rFonts w:ascii="Cambria" w:hAnsi="Cambria"/>
                <w:sz w:val="16"/>
                <w:szCs w:val="16"/>
              </w:rPr>
              <w:t>Derogado</w:t>
            </w:r>
          </w:p>
          <w:p w:rsidR="00BC4EFF" w:rsidRPr="00563E5A" w:rsidRDefault="00BC4EFF"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 xml:space="preserve">13. El consumo humano y animal, vestuario, elementos de aseo y medicamentos para uso humano o veterinario, materiales de construcción que se introduzcan y comercialicen a los </w:t>
            </w:r>
            <w:r w:rsidRPr="00563E5A">
              <w:rPr>
                <w:rFonts w:ascii="Cambria" w:hAnsi="Cambria"/>
                <w:sz w:val="16"/>
                <w:szCs w:val="16"/>
              </w:rPr>
              <w:lastRenderedPageBreak/>
              <w:t>departamentos de Guainía, Guaviare, Vaupés y Vichada, siempre y cuando se destinen exclusivamente al consumo dentro del mismo departamento. El Gobierno nacional reglamentará la materia para garantizar que la exclusión del IVA se aplique en las ventas al consumidor final.</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14. El combustible para aviación que se suministre para el servicio de transporte aéreo nacional de pasajeros y de carga con origen y destino a los departamentos de Guainía, Amazonas, Vaupés, San Andrés Islas y Providencia, Arauca y Vichada.</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15. Los productos que se compren o introduzcan al departamento del Amazonas en el marco del convenio Colombo-Peruano y el convenio con la República Federativa del Brasil.</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16. La compraventa de maquinaria y equipos destinados al desarrollo de proyectos o actividades que se encuentren registrados en el Registro Nacional de Reducción de Emisiones de Gases Efecto Invernadero definido en el artículo </w:t>
            </w:r>
            <w:hyperlink r:id="rId56" w:anchor="155" w:history="1">
              <w:r w:rsidRPr="00563E5A">
                <w:rPr>
                  <w:rStyle w:val="Hipervnculo"/>
                  <w:rFonts w:ascii="Cambria" w:hAnsi="Cambria" w:cs="Arial"/>
                  <w:color w:val="0073FF"/>
                  <w:sz w:val="16"/>
                  <w:szCs w:val="16"/>
                </w:rPr>
                <w:t>155</w:t>
              </w:r>
            </w:hyperlink>
            <w:r w:rsidRPr="00563E5A">
              <w:rPr>
                <w:rFonts w:ascii="Cambria" w:hAnsi="Cambria"/>
                <w:sz w:val="16"/>
                <w:szCs w:val="16"/>
              </w:rPr>
              <w:t> de la Ley 1753 de 2015, que generen y certifiquen reducciones de Gases Efecto Invernadero – GEI, según reglamentación que expida el Ministerio de Ambiente y Desarrollo Sostenible.</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La aplicación de este numeral se hará operativa en el momento en que el Ministerio de Ambiente y Desarrollo Sostenible emita las reglamentaciones correspondientes al Registro Nacional de Reducción de Emisiones de Gases Efecto Invernadero. Esto, sin perjuicio del régimen de transición que dicho registro determine para los casos que tengan lugar en el período comprendido entre la entrada en vigor de la presente ley y la operación del registro.</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17. Las bicicletas, bicicletas eléctricas, motos eléctricas, patines, monopatines, monopatines eléctricos, patinetas, y patinetas eléctricas, de hasta 50 UVT.</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18. La venta de los bienes facturados por los comerciantes definidos en el parágrafo 2 del artículo </w:t>
            </w:r>
            <w:hyperlink r:id="rId57" w:anchor="34" w:history="1">
              <w:r w:rsidRPr="00563E5A">
                <w:rPr>
                  <w:rStyle w:val="Hipervnculo"/>
                  <w:rFonts w:ascii="Cambria" w:hAnsi="Cambria" w:cs="Arial"/>
                  <w:color w:val="0073FF"/>
                  <w:sz w:val="16"/>
                  <w:szCs w:val="16"/>
                </w:rPr>
                <w:t>34</w:t>
              </w:r>
            </w:hyperlink>
            <w:r w:rsidRPr="00563E5A">
              <w:rPr>
                <w:rFonts w:ascii="Cambria" w:hAnsi="Cambria"/>
                <w:sz w:val="16"/>
                <w:szCs w:val="16"/>
              </w:rPr>
              <w:t> de la Ley 98 de 1993.</w:t>
            </w:r>
          </w:p>
          <w:p w:rsidR="00563E5A" w:rsidRPr="00563E5A" w:rsidRDefault="00563E5A" w:rsidP="00563E5A">
            <w:pPr>
              <w:jc w:val="both"/>
              <w:rPr>
                <w:rStyle w:val="baj"/>
                <w:rFonts w:ascii="Cambria" w:hAnsi="Cambria"/>
                <w:b/>
                <w:bCs/>
                <w:color w:val="000000"/>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19. Incentivos de premio inmediato de juegos de suerte y azar territoriales</w:t>
            </w:r>
          </w:p>
          <w:p w:rsidR="00563E5A" w:rsidRPr="00563E5A" w:rsidRDefault="00563E5A" w:rsidP="00563E5A">
            <w:pPr>
              <w:jc w:val="both"/>
              <w:rPr>
                <w:rStyle w:val="baj"/>
                <w:rFonts w:ascii="Cambria" w:hAnsi="Cambria"/>
                <w:b/>
                <w:bCs/>
                <w:color w:val="000000"/>
                <w:sz w:val="16"/>
                <w:szCs w:val="16"/>
              </w:rPr>
            </w:pPr>
          </w:p>
          <w:p w:rsidR="00563E5A" w:rsidRPr="00563E5A" w:rsidRDefault="00563E5A" w:rsidP="00563E5A">
            <w:pPr>
              <w:jc w:val="both"/>
              <w:rPr>
                <w:rFonts w:ascii="Cambria" w:hAnsi="Cambria"/>
                <w:sz w:val="16"/>
                <w:szCs w:val="16"/>
              </w:rPr>
            </w:pPr>
            <w:r w:rsidRPr="00563E5A">
              <w:rPr>
                <w:rStyle w:val="baj"/>
                <w:rFonts w:ascii="Cambria" w:hAnsi="Cambria"/>
                <w:b/>
                <w:bCs/>
                <w:color w:val="000000"/>
                <w:sz w:val="16"/>
                <w:szCs w:val="16"/>
              </w:rPr>
              <w:t>PARÁGRAFO. </w:t>
            </w:r>
            <w:r w:rsidRPr="00563E5A">
              <w:rPr>
                <w:rFonts w:ascii="Cambria" w:hAnsi="Cambria"/>
                <w:sz w:val="16"/>
                <w:szCs w:val="16"/>
              </w:rPr>
              <w:t>El petróleo crudo recibido por parte de la Agencia Nacional de Hidrocarburos por concepto de pago de regalías para su respectiva monetización.</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sz w:val="16"/>
                <w:szCs w:val="16"/>
              </w:rPr>
            </w:pPr>
            <w:r w:rsidRPr="00563E5A">
              <w:rPr>
                <w:rFonts w:ascii="Cambria" w:hAnsi="Cambria"/>
                <w:sz w:val="16"/>
                <w:szCs w:val="16"/>
              </w:rPr>
              <w:t>PARÁGRAFO 2. Para los efectos del presente artículo y de conformidad con la reglamentación vigente expedida por el Ministerio de Salud y el Instituto Colombiano Agropecuario, se entienden como animales domésticos de compañía los gatos, perros, hurones, conejos, chinchillas, hámster, cobayos, jerbos y Mini-</w:t>
            </w:r>
            <w:proofErr w:type="spellStart"/>
            <w:r w:rsidRPr="00563E5A">
              <w:rPr>
                <w:rFonts w:ascii="Cambria" w:hAnsi="Cambria"/>
                <w:sz w:val="16"/>
                <w:szCs w:val="16"/>
              </w:rPr>
              <w:t>Pigs</w:t>
            </w:r>
            <w:proofErr w:type="spellEnd"/>
            <w:r w:rsidRPr="00563E5A">
              <w:rPr>
                <w:rFonts w:ascii="Cambria" w:hAnsi="Cambria"/>
                <w:sz w:val="16"/>
                <w:szCs w:val="16"/>
              </w:rPr>
              <w:t> </w:t>
            </w:r>
          </w:p>
          <w:p w:rsidR="00563E5A" w:rsidRPr="00563E5A" w:rsidRDefault="00563E5A" w:rsidP="00563E5A">
            <w:pPr>
              <w:jc w:val="both"/>
              <w:rPr>
                <w:rFonts w:ascii="Cambria" w:hAnsi="Cambria"/>
                <w:sz w:val="16"/>
                <w:szCs w:val="16"/>
              </w:rPr>
            </w:pPr>
          </w:p>
          <w:p w:rsidR="00563E5A" w:rsidRPr="00563E5A" w:rsidRDefault="00563E5A" w:rsidP="00563E5A">
            <w:pPr>
              <w:jc w:val="both"/>
              <w:rPr>
                <w:rFonts w:ascii="Cambria" w:hAnsi="Cambria"/>
                <w:b/>
                <w:sz w:val="16"/>
                <w:szCs w:val="16"/>
              </w:rPr>
            </w:pPr>
          </w:p>
        </w:tc>
      </w:tr>
      <w:tr w:rsidR="00AC7F98" w:rsidTr="0059378C">
        <w:tc>
          <w:tcPr>
            <w:tcW w:w="4958" w:type="dxa"/>
          </w:tcPr>
          <w:p w:rsidR="00AC7F98" w:rsidRDefault="00AC7F98" w:rsidP="00AC7F98">
            <w:pPr>
              <w:jc w:val="both"/>
              <w:rPr>
                <w:rFonts w:ascii="Cambria" w:hAnsi="Cambria"/>
                <w:sz w:val="16"/>
                <w:szCs w:val="16"/>
              </w:rPr>
            </w:pPr>
            <w:r w:rsidRPr="00F5102D">
              <w:rPr>
                <w:rFonts w:ascii="Cambria" w:hAnsi="Cambria"/>
                <w:b/>
                <w:bCs/>
                <w:color w:val="000000" w:themeColor="text1"/>
                <w:sz w:val="16"/>
                <w:szCs w:val="16"/>
              </w:rPr>
              <w:lastRenderedPageBreak/>
              <w:t>Articulo 428. Importaciones que no causan impuesto</w:t>
            </w:r>
            <w:r w:rsidRPr="00F5102D">
              <w:rPr>
                <w:rFonts w:ascii="Cambria" w:hAnsi="Cambria"/>
                <w:b/>
                <w:bCs/>
                <w:color w:val="FF0000"/>
                <w:sz w:val="16"/>
                <w:szCs w:val="16"/>
              </w:rPr>
              <w:t>.</w:t>
            </w:r>
            <w:r w:rsidRPr="00F5102D">
              <w:rPr>
                <w:rFonts w:ascii="Cambria" w:hAnsi="Cambria"/>
                <w:sz w:val="16"/>
                <w:szCs w:val="16"/>
              </w:rPr>
              <w:t> Las siguientes importaciones no causan el impuesto sobre las ventas:</w:t>
            </w:r>
          </w:p>
          <w:p w:rsidR="00AC7F98" w:rsidRDefault="00AC7F98" w:rsidP="00AC7F98">
            <w:pPr>
              <w:jc w:val="both"/>
              <w:rPr>
                <w:rFonts w:ascii="Cambria" w:hAnsi="Cambria"/>
                <w:sz w:val="16"/>
                <w:szCs w:val="16"/>
              </w:rPr>
            </w:pPr>
          </w:p>
          <w:p w:rsidR="00061574" w:rsidRPr="00F5102D" w:rsidRDefault="00061574"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a. &lt;Literal derogado por el artículo </w:t>
            </w:r>
            <w:hyperlink r:id="rId58" w:anchor="285" w:history="1">
              <w:r w:rsidRPr="00F5102D">
                <w:rPr>
                  <w:rStyle w:val="Hipervnculo"/>
                  <w:rFonts w:ascii="Cambria" w:hAnsi="Cambria" w:cs="Arial"/>
                  <w:color w:val="0073FF"/>
                  <w:sz w:val="16"/>
                  <w:szCs w:val="16"/>
                </w:rPr>
                <w:t>285</w:t>
              </w:r>
            </w:hyperlink>
            <w:r w:rsidRPr="00F5102D">
              <w:rPr>
                <w:rFonts w:ascii="Cambria" w:hAnsi="Cambria"/>
                <w:sz w:val="16"/>
                <w:szCs w:val="16"/>
              </w:rPr>
              <w:t> de la Ley 223 de 1995&gt;</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b. La introducción de materias que van a ser transformadas en desarrollo del plan importación - exportación de que trata la Sección Segunda del Capítulo X del Decreto - Ley 444 de 1967.</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 xml:space="preserve">c. La introducción de artículos con destino al servicio oficial de la misión y los agentes diplomáticos o consulares extranjeros y de misiones técnicas extranjeras, que se encuentren amparados por </w:t>
            </w:r>
            <w:r w:rsidRPr="00F5102D">
              <w:rPr>
                <w:rFonts w:ascii="Cambria" w:hAnsi="Cambria"/>
                <w:sz w:val="16"/>
                <w:szCs w:val="16"/>
              </w:rPr>
              <w:lastRenderedPageBreak/>
              <w:t>privilegios o prerrogativas de acuerdo con disposiciones legales sobre reciprocidad diplomática.</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&lt;Inciso adicionado por el artículo </w:t>
            </w:r>
            <w:hyperlink r:id="rId59" w:anchor="65" w:history="1">
              <w:r w:rsidRPr="00F5102D">
                <w:rPr>
                  <w:rStyle w:val="Hipervnculo"/>
                  <w:rFonts w:ascii="Cambria" w:hAnsi="Cambria" w:cs="Arial"/>
                  <w:color w:val="0073FF"/>
                  <w:sz w:val="16"/>
                  <w:szCs w:val="16"/>
                </w:rPr>
                <w:t>65</w:t>
              </w:r>
            </w:hyperlink>
            <w:r w:rsidRPr="00F5102D">
              <w:rPr>
                <w:rFonts w:ascii="Cambria" w:hAnsi="Cambria"/>
                <w:sz w:val="16"/>
                <w:szCs w:val="16"/>
              </w:rPr>
              <w:t> de la Ley 1739 de 2014. El nuevo texto es el siguiente:&gt; Tratándose de franquicias establecidas para vehículos de acuerdo con las disposiciones legales sobre reciprocidad diplomática, el beneficio es personal e intransferible dentro del año siguiente a su importación. En el evento en que se transfiera antes del término aquí establecido, el impuesto sobre las ventas se causa y debe pagarse junto con los intereses moratorios a que haya lugar, calculados de acuerdo con el artículo </w:t>
            </w:r>
            <w:hyperlink r:id="rId60" w:anchor="634" w:history="1">
              <w:r w:rsidRPr="00F5102D">
                <w:rPr>
                  <w:rStyle w:val="Hipervnculo"/>
                  <w:rFonts w:ascii="Cambria" w:hAnsi="Cambria" w:cs="Arial"/>
                  <w:color w:val="0073FF"/>
                  <w:sz w:val="16"/>
                  <w:szCs w:val="16"/>
                </w:rPr>
                <w:t>634</w:t>
              </w:r>
            </w:hyperlink>
            <w:r w:rsidRPr="00F5102D">
              <w:rPr>
                <w:rFonts w:ascii="Cambria" w:hAnsi="Cambria"/>
                <w:sz w:val="16"/>
                <w:szCs w:val="16"/>
              </w:rPr>
              <w:t> de este Estatuto, incrementados en un 50%.</w:t>
            </w:r>
            <w:r>
              <w:rPr>
                <w:rFonts w:ascii="Cambria" w:hAnsi="Cambria"/>
                <w:sz w:val="16"/>
                <w:szCs w:val="16"/>
              </w:rPr>
              <w:t>’</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d. Las importaciones de armas y municiones que se hagan para la defensa nacional.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e. &lt;Literal modificado por el artículo </w:t>
            </w:r>
            <w:hyperlink r:id="rId61" w:anchor="6" w:history="1">
              <w:r w:rsidRPr="00F5102D">
                <w:rPr>
                  <w:rStyle w:val="Hipervnculo"/>
                  <w:rFonts w:ascii="Cambria" w:hAnsi="Cambria" w:cs="Arial"/>
                  <w:color w:val="0073FF"/>
                  <w:sz w:val="16"/>
                  <w:szCs w:val="16"/>
                </w:rPr>
                <w:t>6</w:t>
              </w:r>
            </w:hyperlink>
            <w:r w:rsidRPr="00F5102D">
              <w:rPr>
                <w:rFonts w:ascii="Cambria" w:hAnsi="Cambria"/>
                <w:sz w:val="16"/>
                <w:szCs w:val="16"/>
              </w:rPr>
              <w:t> de la Ley 223 de 1995. El nuevo texto es el siguiente:&gt; La importación temporal de maquinaria pesada para industrias básicas, siempre y cuando dicha maquinaria no se produzca en el país. Se consideran industrias básicas las de minería, hidrocarburos, química pesada, siderurgia, metalurgia extractiva, generación y transmisión de energía eléctrica y obtención, purificación y conducción de óxido de hidrógeno. El concepto de maquinaria pesada incluye todos los elementos complementarios o accesorios del equipo principal.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f.  La importación de maquinaria o equipo, siempre y cuando dicha maquinaria o equipo no se produzcan en el país, destinados a reciclar y procesar basuras o desperdicios (la maquinaria comprende lavado, separado, reciclado y extrusión), y los destinados a la depuración o tratamiento de aguas residuales, emisiones atmosféricas o residuos sólidos, para recuperación de los ríos o el saneamiento básico para lograr el mejoramiento del medio ambiente, siempre y cuando hagan parte de un programa que se apruebe por el Ministerio del Medio Ambiente. Cuando se trate de contratos ya celebrados, esta exención deberá reflejarse en un menor valor del contrato. Así mismo, los equipos para el control y monitoreo ambiental, incluidos aquellos para cumplir con los compromisos del protocolo de Montreal.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g. La importación ordinaria de maquinaria industrial que no se produzca en el país, destinada a la transformación de materias primas, por parte de los usuarios altamente exportadores.</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Para efectos de este artículo, la calificación de usuarios altamente exportadores, sólo requerirá el cumplimiento del requisito previsto en el literal b) del artículo 36 del Decreto 2685 de 1999.</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Para la procedencia de este beneficio, debe acreditarse anualmente el cumplimiento del monto de las exportaciones a que se refiere el inciso anterior y la maquinaria importada deberá permanecer dentro del patrimonio del respectivo importador durante un término no inferior al de su vida útil, sin que pueda cederse su uso a terceros a ningún título, salvo cuando la cesión se haga a favor de una compañía de leasing con miras a obtener financiación a través de un contrato de leasing.</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En caso de incumplimiento de lo aquí previsto, el importador deberá reintegrar el impuesto sobre las ventas no pagado más los intereses moratorios a que haya lugar y una sanción equivalente al 5% del valor FOB de la maquinaria importada.</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 xml:space="preserve">h) La importación de bienes y equipos que se efectúe en desarrollo de convenios, tratados o acuerdos internacionales de cooperación vigentes para Colombia, destinados al Gobierno Nacional o a entidades de derecho público del orden nacional. Este tratamiento no opera para </w:t>
            </w:r>
            <w:r w:rsidRPr="00F5102D">
              <w:rPr>
                <w:rFonts w:ascii="Cambria" w:hAnsi="Cambria"/>
                <w:sz w:val="16"/>
                <w:szCs w:val="16"/>
              </w:rPr>
              <w:lastRenderedPageBreak/>
              <w:t>las empresas industriales y comerciales del Estado y las sociedades de economía mixta.</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Pr>
                <w:rFonts w:ascii="Cambria" w:hAnsi="Cambria"/>
                <w:sz w:val="16"/>
                <w:szCs w:val="16"/>
              </w:rPr>
              <w:t>i)</w:t>
            </w:r>
            <w:r w:rsidRPr="00F5102D">
              <w:rPr>
                <w:rFonts w:ascii="Cambria" w:hAnsi="Cambria"/>
                <w:sz w:val="16"/>
                <w:szCs w:val="16"/>
              </w:rPr>
              <w:t xml:space="preserve"> La importación de maquinaria y equipos destinados al desarrollo de proyectos o actividades que sean exportadores de certificados de reducción de emisiones de carbono y que contribuyan a reducir la emisión de los gases efecto invernadero y por lo tanto al desarrollo sostenible.</w:t>
            </w:r>
          </w:p>
          <w:p w:rsidR="00AC7F98" w:rsidRDefault="00AC7F98" w:rsidP="00AC7F98">
            <w:pPr>
              <w:jc w:val="both"/>
              <w:rPr>
                <w:rFonts w:ascii="Cambria" w:hAnsi="Cambria" w:cs="Arial"/>
                <w:sz w:val="16"/>
                <w:szCs w:val="16"/>
                <w:shd w:val="clear" w:color="auto" w:fill="E6E6E6"/>
              </w:rPr>
            </w:pPr>
          </w:p>
          <w:p w:rsidR="00AC7F98" w:rsidRPr="00F5102D" w:rsidRDefault="00AC7F98" w:rsidP="00AC7F98">
            <w:pPr>
              <w:jc w:val="both"/>
              <w:rPr>
                <w:rFonts w:ascii="Cambria" w:hAnsi="Cambria"/>
                <w:sz w:val="16"/>
                <w:szCs w:val="16"/>
              </w:rPr>
            </w:pPr>
            <w:r w:rsidRPr="00F5102D">
              <w:rPr>
                <w:rFonts w:ascii="Cambria" w:hAnsi="Cambria"/>
                <w:sz w:val="16"/>
                <w:szCs w:val="16"/>
              </w:rPr>
              <w:t>j</w:t>
            </w:r>
            <w:r w:rsidRPr="00AC7F98">
              <w:rPr>
                <w:rFonts w:ascii="Cambria" w:hAnsi="Cambria"/>
                <w:sz w:val="16"/>
                <w:szCs w:val="16"/>
                <w:highlight w:val="yellow"/>
              </w:rPr>
              <w:t>) La importación de bienes objeto de tráfico postal, envíos urgentes o envíos de entrega rápida cuyo valor no exceda de doscientos dólares USD$200, de acuerdo con lo establecido en cada acuerdo o tratado de Libre Comercio, en virtud del cual, se obligue expresamente al no cobro de este impuesto.</w:t>
            </w:r>
            <w:r w:rsidRPr="00F5102D">
              <w:rPr>
                <w:rFonts w:ascii="Cambria" w:hAnsi="Cambria"/>
                <w:sz w:val="16"/>
                <w:szCs w:val="16"/>
              </w:rPr>
              <w:t> </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La Dirección de Impuestos y Aduanas Nacionales — DIAN establecerá los controles de fiscalización e investigación correspondientes para asegurar el pago efectivo del impuesto cuando haya lugar al mismo. El beneficio establecido en este literal no podrá ser utilizado cuando las importaciones tengan fines comerciales. </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A este literal no le será aplicable lo previsto en el parágrafo 3 de este artículo. </w:t>
            </w:r>
          </w:p>
          <w:p w:rsidR="00AC7F98" w:rsidRPr="00F5102D" w:rsidRDefault="00AC7F98" w:rsidP="00AC7F98">
            <w:pPr>
              <w:jc w:val="both"/>
              <w:rPr>
                <w:rStyle w:val="baj"/>
                <w:rFonts w:ascii="Cambria" w:hAnsi="Cambria"/>
                <w:b/>
                <w:bCs/>
                <w:color w:val="000000"/>
                <w:sz w:val="16"/>
                <w:szCs w:val="16"/>
              </w:rPr>
            </w:pPr>
            <w:r w:rsidRPr="00F5102D">
              <w:rPr>
                <w:rStyle w:val="baj"/>
                <w:rFonts w:ascii="Cambria" w:hAnsi="Cambria"/>
                <w:b/>
                <w:bCs/>
                <w:color w:val="000000"/>
                <w:sz w:val="16"/>
                <w:szCs w:val="16"/>
              </w:rPr>
              <w:t xml:space="preserve"> </w:t>
            </w:r>
          </w:p>
          <w:p w:rsidR="00AC7F98" w:rsidRDefault="00AC7F98" w:rsidP="00AC7F98">
            <w:pPr>
              <w:jc w:val="both"/>
              <w:rPr>
                <w:rStyle w:val="baj"/>
                <w:rFonts w:ascii="Cambria" w:hAnsi="Cambria"/>
                <w:b/>
                <w:bCs/>
                <w:color w:val="000000"/>
                <w:sz w:val="16"/>
                <w:szCs w:val="16"/>
              </w:rPr>
            </w:pPr>
          </w:p>
          <w:p w:rsidR="00AC7F98" w:rsidRPr="00F5102D" w:rsidRDefault="00AC7F98" w:rsidP="00AC7F98">
            <w:pPr>
              <w:jc w:val="both"/>
              <w:rPr>
                <w:rFonts w:ascii="Cambria" w:hAnsi="Cambria"/>
                <w:sz w:val="16"/>
                <w:szCs w:val="16"/>
              </w:rPr>
            </w:pPr>
            <w:r w:rsidRPr="00F5102D">
              <w:rPr>
                <w:rStyle w:val="baj"/>
                <w:rFonts w:ascii="Cambria" w:hAnsi="Cambria"/>
                <w:b/>
                <w:bCs/>
                <w:color w:val="000000"/>
                <w:sz w:val="16"/>
                <w:szCs w:val="16"/>
              </w:rPr>
              <w:t>PARAGRAFO.</w:t>
            </w:r>
            <w:r w:rsidRPr="00F5102D">
              <w:rPr>
                <w:rFonts w:ascii="Cambria" w:hAnsi="Cambria"/>
                <w:sz w:val="16"/>
                <w:szCs w:val="16"/>
              </w:rPr>
              <w:t> En los casos previstos en los literales a) y b), el impuesto se causará si eventualmente hay lugar al pago de derechos arancelarios.</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Style w:val="baj"/>
                <w:rFonts w:ascii="Cambria" w:hAnsi="Cambria"/>
                <w:b/>
                <w:bCs/>
                <w:color w:val="000000"/>
                <w:sz w:val="16"/>
                <w:szCs w:val="16"/>
              </w:rPr>
            </w:pPr>
            <w:r w:rsidRPr="00F5102D">
              <w:rPr>
                <w:rStyle w:val="baj"/>
                <w:rFonts w:ascii="Cambria" w:hAnsi="Cambria"/>
                <w:b/>
                <w:bCs/>
                <w:color w:val="000000"/>
                <w:sz w:val="16"/>
                <w:szCs w:val="16"/>
              </w:rPr>
              <w:t>PARÁGRAFO 2o.</w:t>
            </w:r>
            <w:r w:rsidRPr="00F5102D">
              <w:rPr>
                <w:rFonts w:ascii="Cambria" w:hAnsi="Cambria"/>
                <w:sz w:val="16"/>
                <w:szCs w:val="16"/>
              </w:rPr>
              <w:t xml:space="preserve">  Para tener derecho al beneficio de que trata el literal g) del presente artículo, en la importación de maquinaria realizada por empresas nuevas que se constituyan a partir de la vigencia de la presente Ley deberá otorga </w:t>
            </w:r>
            <w:proofErr w:type="spellStart"/>
            <w:r w:rsidRPr="00F5102D">
              <w:rPr>
                <w:rFonts w:ascii="Cambria" w:hAnsi="Cambria"/>
                <w:sz w:val="16"/>
                <w:szCs w:val="16"/>
              </w:rPr>
              <w:t>rse</w:t>
            </w:r>
            <w:proofErr w:type="spellEnd"/>
            <w:r w:rsidRPr="00F5102D">
              <w:rPr>
                <w:rFonts w:ascii="Cambria" w:hAnsi="Cambria"/>
                <w:sz w:val="16"/>
                <w:szCs w:val="16"/>
              </w:rPr>
              <w:t xml:space="preserve"> garantía en los términos que establezca el reglamento.</w:t>
            </w:r>
            <w:r w:rsidRPr="00F5102D">
              <w:rPr>
                <w:rStyle w:val="baj"/>
                <w:rFonts w:ascii="Cambria" w:hAnsi="Cambria"/>
                <w:b/>
                <w:bCs/>
                <w:color w:val="000000"/>
                <w:sz w:val="16"/>
                <w:szCs w:val="16"/>
              </w:rPr>
              <w:t xml:space="preserve"> </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3o.</w:t>
            </w:r>
            <w:r w:rsidRPr="00F5102D">
              <w:rPr>
                <w:rFonts w:ascii="Cambria" w:hAnsi="Cambria"/>
                <w:sz w:val="16"/>
                <w:szCs w:val="16"/>
              </w:rPr>
              <w:t>  En todos los casos previstos en este artículo, para la exclusión del impuesto sobre las ventas en la importación deberá obtenerse previamente a la importación una certificación requerida expedida por la autoridad competente.</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TRANSITORIO.</w:t>
            </w:r>
            <w:r w:rsidRPr="00F5102D">
              <w:rPr>
                <w:rFonts w:ascii="Cambria" w:hAnsi="Cambria"/>
                <w:sz w:val="16"/>
                <w:szCs w:val="16"/>
              </w:rPr>
              <w:t>  Una vez vencido el término de que trata el numeral 1 del artículo 675 del Decreto 390 de 2016, el beneficio de que trata el literal g) del presente artículo operará para los operadores económicos autorizados de que trata el Decreto 3568 de 2011 y demás normas que lo modifiquen, adicionen o complementen.</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4o.</w:t>
            </w:r>
            <w:r w:rsidRPr="00F5102D">
              <w:rPr>
                <w:rFonts w:ascii="Cambria" w:hAnsi="Cambria"/>
                <w:sz w:val="16"/>
                <w:szCs w:val="16"/>
              </w:rPr>
              <w:t>  Los beneficios previstos en el literal g) de este artículo se aplicarán también cuando los bienes a que se refiere el mismo, sean adquiridos por compañías de financiamiento comercial para darlos en arrendamiento financiero o cuando sean entregados a un patrimonio autónomo como garantía de los créditos otorgados para su adquisición, así como para los contribuyentes que estén o se sometan al tratamiento previsto en la Ley </w:t>
            </w:r>
            <w:hyperlink r:id="rId62" w:anchor="1" w:history="1">
              <w:r w:rsidRPr="00F5102D">
                <w:rPr>
                  <w:rStyle w:val="Hipervnculo"/>
                  <w:rFonts w:ascii="Cambria" w:hAnsi="Cambria" w:cs="Arial"/>
                  <w:color w:val="0073FF"/>
                  <w:sz w:val="16"/>
                  <w:szCs w:val="16"/>
                </w:rPr>
                <w:t>550</w:t>
              </w:r>
            </w:hyperlink>
            <w:r w:rsidRPr="00F5102D">
              <w:rPr>
                <w:rFonts w:ascii="Cambria" w:hAnsi="Cambria"/>
                <w:sz w:val="16"/>
                <w:szCs w:val="16"/>
              </w:rPr>
              <w:t> de 1999, con la condición de que los bienes sean devueltos al término del contrato de fiducia mercantil al mismo fideicomitente y el uso de los mismos se conserve durante todo el tiempo de su vida útil en cabeza de este.</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Style w:val="baj"/>
                <w:rFonts w:ascii="Cambria" w:hAnsi="Cambria"/>
                <w:b/>
                <w:bCs/>
                <w:color w:val="000000"/>
                <w:sz w:val="16"/>
                <w:szCs w:val="16"/>
              </w:rPr>
            </w:pPr>
          </w:p>
          <w:p w:rsidR="00AC7F98" w:rsidRPr="00F5102D" w:rsidRDefault="00AC7F98" w:rsidP="00AC7F98">
            <w:pPr>
              <w:jc w:val="both"/>
              <w:rPr>
                <w:rFonts w:ascii="Cambria" w:hAnsi="Cambria"/>
                <w:sz w:val="16"/>
                <w:szCs w:val="16"/>
              </w:rPr>
            </w:pPr>
            <w:r w:rsidRPr="00F5102D">
              <w:rPr>
                <w:rStyle w:val="baj"/>
                <w:rFonts w:ascii="Cambria" w:hAnsi="Cambria"/>
                <w:b/>
                <w:bCs/>
                <w:color w:val="000000"/>
                <w:sz w:val="16"/>
                <w:szCs w:val="16"/>
              </w:rPr>
              <w:t>PARÁGRAFO TRANSITORIO.</w:t>
            </w:r>
            <w:r w:rsidRPr="00F5102D">
              <w:rPr>
                <w:rFonts w:ascii="Cambria" w:hAnsi="Cambria"/>
                <w:sz w:val="16"/>
                <w:szCs w:val="16"/>
              </w:rPr>
              <w:t xml:space="preserve">  Para efectos de lo previsto en el literal g) de este artículo, las modificaciones que en el régimen aduanero se introduzcan en relación con la figura de “usuarios altamente exportadores” y la denominación “importación ordinaria”, se entenderán sustituidas, respectivamente, de manera progresiva por la </w:t>
            </w:r>
            <w:r w:rsidRPr="00F5102D">
              <w:rPr>
                <w:rFonts w:ascii="Cambria" w:hAnsi="Cambria"/>
                <w:sz w:val="16"/>
                <w:szCs w:val="16"/>
              </w:rPr>
              <w:lastRenderedPageBreak/>
              <w:t>calidad de “Operador Económico Autorizado” si se adquiere tal calidad, y se remplaza la expresión importación ordinaria por “importación para el consumo.</w:t>
            </w:r>
          </w:p>
          <w:p w:rsidR="00AC7F98" w:rsidRPr="002D2AB4" w:rsidRDefault="00AC7F98" w:rsidP="00AC7F98">
            <w:pPr>
              <w:jc w:val="both"/>
              <w:rPr>
                <w:rFonts w:ascii="Cambria" w:hAnsi="Cambria"/>
                <w:b/>
                <w:sz w:val="16"/>
                <w:szCs w:val="16"/>
              </w:rPr>
            </w:pPr>
          </w:p>
        </w:tc>
        <w:tc>
          <w:tcPr>
            <w:tcW w:w="4865" w:type="dxa"/>
          </w:tcPr>
          <w:p w:rsidR="00AC7F98" w:rsidRDefault="00AC7F98" w:rsidP="00AC7F98">
            <w:pPr>
              <w:jc w:val="both"/>
              <w:rPr>
                <w:rFonts w:ascii="Cambria" w:hAnsi="Cambria"/>
                <w:sz w:val="16"/>
                <w:szCs w:val="16"/>
              </w:rPr>
            </w:pPr>
            <w:r w:rsidRPr="00F5102D">
              <w:rPr>
                <w:rFonts w:ascii="Cambria" w:hAnsi="Cambria"/>
                <w:b/>
                <w:bCs/>
                <w:color w:val="000000" w:themeColor="text1"/>
                <w:sz w:val="16"/>
                <w:szCs w:val="16"/>
              </w:rPr>
              <w:lastRenderedPageBreak/>
              <w:t>Articulo 428. Importaciones que no causan impuesto</w:t>
            </w:r>
            <w:r w:rsidR="00061574">
              <w:rPr>
                <w:rFonts w:ascii="Cambria" w:hAnsi="Cambria"/>
                <w:b/>
                <w:bCs/>
                <w:color w:val="000000" w:themeColor="text1"/>
                <w:sz w:val="16"/>
                <w:szCs w:val="16"/>
              </w:rPr>
              <w:t xml:space="preserve"> </w:t>
            </w:r>
            <w:r w:rsidR="00061574" w:rsidRPr="00061574">
              <w:rPr>
                <w:rFonts w:ascii="Cambria" w:hAnsi="Cambria"/>
                <w:b/>
                <w:bCs/>
                <w:color w:val="FF0000"/>
                <w:sz w:val="16"/>
                <w:szCs w:val="16"/>
              </w:rPr>
              <w:t xml:space="preserve">(modificado con artículo 95 </w:t>
            </w:r>
            <w:r w:rsidR="00FB60A2">
              <w:rPr>
                <w:rFonts w:ascii="Cambria" w:hAnsi="Cambria"/>
                <w:b/>
                <w:bCs/>
                <w:color w:val="FF0000"/>
                <w:sz w:val="16"/>
                <w:szCs w:val="16"/>
              </w:rPr>
              <w:t>proyecto de Ley de septiembre de 2025</w:t>
            </w:r>
            <w:r w:rsidR="00061574" w:rsidRPr="00061574">
              <w:rPr>
                <w:rFonts w:ascii="Cambria" w:hAnsi="Cambria"/>
                <w:b/>
                <w:bCs/>
                <w:color w:val="FF0000"/>
                <w:sz w:val="16"/>
                <w:szCs w:val="16"/>
              </w:rPr>
              <w:t>)</w:t>
            </w:r>
            <w:r w:rsidRPr="00F5102D">
              <w:rPr>
                <w:rFonts w:ascii="Cambria" w:hAnsi="Cambria"/>
                <w:b/>
                <w:bCs/>
                <w:color w:val="FF0000"/>
                <w:sz w:val="16"/>
                <w:szCs w:val="16"/>
              </w:rPr>
              <w:t>.</w:t>
            </w:r>
            <w:r w:rsidRPr="00F5102D">
              <w:rPr>
                <w:rFonts w:ascii="Cambria" w:hAnsi="Cambria"/>
                <w:sz w:val="16"/>
                <w:szCs w:val="16"/>
              </w:rPr>
              <w:t> Las siguientes importaciones no causan el impuesto sobre las ventas:</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a. &lt;Literal derogado por el artículo </w:t>
            </w:r>
            <w:hyperlink r:id="rId63" w:anchor="285" w:history="1">
              <w:r w:rsidRPr="00F5102D">
                <w:rPr>
                  <w:rStyle w:val="Hipervnculo"/>
                  <w:rFonts w:ascii="Cambria" w:hAnsi="Cambria" w:cs="Arial"/>
                  <w:color w:val="0073FF"/>
                  <w:sz w:val="16"/>
                  <w:szCs w:val="16"/>
                </w:rPr>
                <w:t>285</w:t>
              </w:r>
            </w:hyperlink>
            <w:r w:rsidRPr="00F5102D">
              <w:rPr>
                <w:rFonts w:ascii="Cambria" w:hAnsi="Cambria"/>
                <w:sz w:val="16"/>
                <w:szCs w:val="16"/>
              </w:rPr>
              <w:t> de la Ley 223 de 1995&gt;</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b. La introducción de materias que van a ser transformadas en desarrollo del plan importación - exportación de que trata la Sección Segunda del Capítulo X del Decreto - Ley 444 de 1967.</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 xml:space="preserve">c. La introducción de artículos con destino al servicio oficial de la misión y los agentes diplomáticos o consulares extranjeros y de misiones técnicas extranjeras, que se encuentren amparados por </w:t>
            </w:r>
            <w:r w:rsidRPr="00F5102D">
              <w:rPr>
                <w:rFonts w:ascii="Cambria" w:hAnsi="Cambria"/>
                <w:sz w:val="16"/>
                <w:szCs w:val="16"/>
              </w:rPr>
              <w:lastRenderedPageBreak/>
              <w:t>privilegios o prerrogativas de acuerdo con disposiciones legales sobre reciprocidad diplomática.</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&lt;Inciso adicionado por el artículo </w:t>
            </w:r>
            <w:hyperlink r:id="rId64" w:anchor="65" w:history="1">
              <w:r w:rsidRPr="00F5102D">
                <w:rPr>
                  <w:rStyle w:val="Hipervnculo"/>
                  <w:rFonts w:ascii="Cambria" w:hAnsi="Cambria" w:cs="Arial"/>
                  <w:color w:val="0073FF"/>
                  <w:sz w:val="16"/>
                  <w:szCs w:val="16"/>
                </w:rPr>
                <w:t>65</w:t>
              </w:r>
            </w:hyperlink>
            <w:r w:rsidRPr="00F5102D">
              <w:rPr>
                <w:rFonts w:ascii="Cambria" w:hAnsi="Cambria"/>
                <w:sz w:val="16"/>
                <w:szCs w:val="16"/>
              </w:rPr>
              <w:t> de la Ley 1739 de 2014. El nuevo texto es el siguiente:&gt; Tratándose de franquicias establecidas para vehículos de acuerdo con las disposiciones legales sobre reciprocidad diplomática, el beneficio es personal e intransferible dentro del año siguiente a su importación. En el evento en que se transfiera antes del término aquí establecido, el impuesto sobre las ventas se causa y debe pagarse junto con los intereses moratorios a que haya lugar, calculados de acuerdo con el artículo </w:t>
            </w:r>
            <w:hyperlink r:id="rId65" w:anchor="634" w:history="1">
              <w:r w:rsidRPr="00F5102D">
                <w:rPr>
                  <w:rStyle w:val="Hipervnculo"/>
                  <w:rFonts w:ascii="Cambria" w:hAnsi="Cambria" w:cs="Arial"/>
                  <w:color w:val="0073FF"/>
                  <w:sz w:val="16"/>
                  <w:szCs w:val="16"/>
                </w:rPr>
                <w:t>634</w:t>
              </w:r>
            </w:hyperlink>
            <w:r w:rsidRPr="00F5102D">
              <w:rPr>
                <w:rFonts w:ascii="Cambria" w:hAnsi="Cambria"/>
                <w:sz w:val="16"/>
                <w:szCs w:val="16"/>
              </w:rPr>
              <w:t> de este Estatuto, incrementados en un 50%.</w:t>
            </w:r>
            <w:r>
              <w:rPr>
                <w:rFonts w:ascii="Cambria" w:hAnsi="Cambria"/>
                <w:sz w:val="16"/>
                <w:szCs w:val="16"/>
              </w:rPr>
              <w:t>’</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d. Las importaciones de armas y municiones que se hagan para la defensa nacional.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e. &lt;Literal modificado por el artículo </w:t>
            </w:r>
            <w:hyperlink r:id="rId66" w:anchor="6" w:history="1">
              <w:r w:rsidRPr="00F5102D">
                <w:rPr>
                  <w:rStyle w:val="Hipervnculo"/>
                  <w:rFonts w:ascii="Cambria" w:hAnsi="Cambria" w:cs="Arial"/>
                  <w:color w:val="0073FF"/>
                  <w:sz w:val="16"/>
                  <w:szCs w:val="16"/>
                </w:rPr>
                <w:t>6</w:t>
              </w:r>
            </w:hyperlink>
            <w:r w:rsidRPr="00F5102D">
              <w:rPr>
                <w:rFonts w:ascii="Cambria" w:hAnsi="Cambria"/>
                <w:sz w:val="16"/>
                <w:szCs w:val="16"/>
              </w:rPr>
              <w:t> de la Ley 223 de 1995. El nuevo texto es el siguiente:&gt; La importación temporal de maquinaria pesada para industrias básicas, siempre y cuando dicha maquinaria no se produzca en el país. Se consideran industrias básicas las de minería, hidrocarburos, química pesada, siderurgia, metalurgia extractiva, generación y transmisión de energía eléctrica y obtención, purificación y conducción de óxido de hidrógeno. El concepto de maquinaria pesada incluye todos los elementos complementarios o accesorios del equipo principal.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f.  La importación de maquinaria o equipo, siempre y cuando dicha maquinaria o equipo no se produzcan en el país, destinados a reciclar y procesar basuras o desperdicios (la maquinaria comprende lavado, separado, reciclado y extrusión), y los destinados a la depuración o tratamiento de aguas residuales, emisiones atmosféricas o residuos sólidos, para recuperación de los ríos o el saneamiento básico para lograr el mejoramiento del medio ambiente, siempre y cuando hagan parte de un programa que se apruebe por el Ministerio del Medio Ambiente. Cuando se trate de contratos ya celebrados, esta exención deberá reflejarse en un menor valor del contrato. Así mismo, los equipos para el control y monitoreo ambiental, incluidos aquellos para cumplir con los compromisos del protocolo de Montreal.</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g. La importación ordinaria de maquinaria industrial que no se produzca en el país, destinada a la transformación de materias primas, por parte de los usuarios altamente exportadores.</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Para efectos de este artículo, la calificación de usuarios altamente exportadores, sólo requerirá el cumplimiento del requisito previsto en el literal b) del artículo 36 del Decreto 2685 de 1999.</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Para la procedencia de este beneficio, debe acreditarse anualmente el cumplimiento del monto de las exportaciones a que se refiere el inciso anterior y la maquinaria importada deberá permanecer dentro del patrimonio del respectivo importador durante un término no inferior al de su vida útil, sin que pueda cederse su uso a terceros a ningún título, salvo cuando la cesión se haga a favor de una compañía de leasing con miras a obtener financiación a través de un contrato de leasing.</w:t>
            </w:r>
          </w:p>
          <w:p w:rsidR="00AC7F98" w:rsidRPr="00F5102D"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En caso de incumplimiento de lo aquí previsto, el importador deberá reintegrar el impuesto sobre las ventas no pagado más los intereses moratorios a que haya lugar y una sanción equivalente al 5% del valor FOB de la maquinaria importada.</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Fonts w:ascii="Cambria" w:hAnsi="Cambria"/>
                <w:sz w:val="16"/>
                <w:szCs w:val="16"/>
              </w:rPr>
              <w:t xml:space="preserve">h) La importación de bienes y equipos que se efectúe en desarrollo de convenios, tratados o acuerdos internacionales de cooperación vigentes para Colombia, destinados al Gobierno Nacional o a entidades de derecho público del orden nacional. Este tratamiento </w:t>
            </w:r>
            <w:r w:rsidRPr="00F5102D">
              <w:rPr>
                <w:rFonts w:ascii="Cambria" w:hAnsi="Cambria"/>
                <w:sz w:val="16"/>
                <w:szCs w:val="16"/>
              </w:rPr>
              <w:lastRenderedPageBreak/>
              <w:t>no opera para las empresas industriales y comerciales del Estado y las sociedades de economía mixta.</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Pr>
                <w:rFonts w:ascii="Cambria" w:hAnsi="Cambria"/>
                <w:sz w:val="16"/>
                <w:szCs w:val="16"/>
              </w:rPr>
              <w:t>i)</w:t>
            </w:r>
            <w:r w:rsidRPr="00F5102D">
              <w:rPr>
                <w:rFonts w:ascii="Cambria" w:hAnsi="Cambria"/>
                <w:sz w:val="16"/>
                <w:szCs w:val="16"/>
              </w:rPr>
              <w:t xml:space="preserve"> La importación de maquinaria y equipos destinados al desarrollo de proyectos o actividades que sean exportadores de certificados de reducción de emisiones de carbono y que contribuyan a reducir la emisión de los gases efecto invernadero y por lo tanto al desarrollo sostenible.</w:t>
            </w:r>
          </w:p>
          <w:p w:rsidR="00AC7F98" w:rsidRDefault="00AC7F98" w:rsidP="00AC7F98">
            <w:pPr>
              <w:jc w:val="both"/>
              <w:rPr>
                <w:rFonts w:ascii="Cambria" w:hAnsi="Cambria" w:cs="Arial"/>
                <w:sz w:val="16"/>
                <w:szCs w:val="16"/>
                <w:shd w:val="clear" w:color="auto" w:fill="E6E6E6"/>
              </w:rPr>
            </w:pPr>
          </w:p>
          <w:p w:rsidR="00AC7F98" w:rsidRDefault="00AC7F98" w:rsidP="00AC7F98">
            <w:pPr>
              <w:jc w:val="both"/>
              <w:rPr>
                <w:rFonts w:ascii="Cambria" w:hAnsi="Cambria"/>
                <w:sz w:val="16"/>
                <w:szCs w:val="16"/>
              </w:rPr>
            </w:pPr>
            <w:r w:rsidRPr="00F5102D">
              <w:rPr>
                <w:rFonts w:ascii="Cambria" w:hAnsi="Cambria"/>
                <w:sz w:val="16"/>
                <w:szCs w:val="16"/>
              </w:rPr>
              <w:t>j</w:t>
            </w:r>
            <w:r w:rsidRPr="00AC7F98">
              <w:rPr>
                <w:rFonts w:ascii="Cambria" w:hAnsi="Cambria"/>
                <w:sz w:val="16"/>
                <w:szCs w:val="16"/>
                <w:highlight w:val="yellow"/>
              </w:rPr>
              <w:t>) Derogado</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La Dirección de Impuestos y Aduanas Nacionales — DIAN establecerá los controles de fiscalización e investigación correspondientes para asegurar el pago efectivo del impuesto cuando haya lugar al mismo. El beneficio establecido en este literal no podrá ser utilizado cuando las importaciones tengan fines comerciales. </w:t>
            </w:r>
          </w:p>
          <w:p w:rsidR="00AC7F98" w:rsidRDefault="00AC7F98" w:rsidP="00AC7F98">
            <w:pPr>
              <w:jc w:val="both"/>
              <w:rPr>
                <w:rFonts w:ascii="Cambria" w:hAnsi="Cambria"/>
                <w:sz w:val="16"/>
                <w:szCs w:val="16"/>
              </w:rPr>
            </w:pPr>
          </w:p>
          <w:p w:rsidR="00AC7F98" w:rsidRPr="00F5102D" w:rsidRDefault="00AC7F98" w:rsidP="00AC7F98">
            <w:pPr>
              <w:jc w:val="both"/>
              <w:rPr>
                <w:rFonts w:ascii="Cambria" w:hAnsi="Cambria"/>
                <w:sz w:val="16"/>
                <w:szCs w:val="16"/>
              </w:rPr>
            </w:pPr>
            <w:r w:rsidRPr="00F5102D">
              <w:rPr>
                <w:rFonts w:ascii="Cambria" w:hAnsi="Cambria"/>
                <w:sz w:val="16"/>
                <w:szCs w:val="16"/>
              </w:rPr>
              <w:t>A este literal no le será aplicable lo previsto en el parágrafo 3 de este artículo. </w:t>
            </w:r>
          </w:p>
          <w:p w:rsidR="00AC7F98" w:rsidRPr="00F5102D" w:rsidRDefault="00AC7F98" w:rsidP="00AC7F98">
            <w:pPr>
              <w:jc w:val="both"/>
              <w:rPr>
                <w:rStyle w:val="baj"/>
                <w:rFonts w:ascii="Cambria" w:hAnsi="Cambria"/>
                <w:b/>
                <w:bCs/>
                <w:color w:val="000000"/>
                <w:sz w:val="16"/>
                <w:szCs w:val="16"/>
              </w:rPr>
            </w:pPr>
            <w:r w:rsidRPr="00F5102D">
              <w:rPr>
                <w:rStyle w:val="baj"/>
                <w:rFonts w:ascii="Cambria" w:hAnsi="Cambria"/>
                <w:b/>
                <w:bCs/>
                <w:color w:val="000000"/>
                <w:sz w:val="16"/>
                <w:szCs w:val="16"/>
              </w:rPr>
              <w:t xml:space="preserve"> </w:t>
            </w:r>
          </w:p>
          <w:p w:rsidR="00AC7F98" w:rsidRDefault="00AC7F98" w:rsidP="00AC7F98">
            <w:pPr>
              <w:jc w:val="both"/>
              <w:rPr>
                <w:rStyle w:val="baj"/>
                <w:rFonts w:ascii="Cambria" w:hAnsi="Cambria"/>
                <w:b/>
                <w:bCs/>
                <w:color w:val="000000"/>
                <w:sz w:val="16"/>
                <w:szCs w:val="16"/>
              </w:rPr>
            </w:pPr>
          </w:p>
          <w:p w:rsidR="00AC7F98" w:rsidRPr="00F5102D" w:rsidRDefault="00AC7F98" w:rsidP="00AC7F98">
            <w:pPr>
              <w:jc w:val="both"/>
              <w:rPr>
                <w:rFonts w:ascii="Cambria" w:hAnsi="Cambria"/>
                <w:sz w:val="16"/>
                <w:szCs w:val="16"/>
              </w:rPr>
            </w:pPr>
            <w:r w:rsidRPr="00F5102D">
              <w:rPr>
                <w:rStyle w:val="baj"/>
                <w:rFonts w:ascii="Cambria" w:hAnsi="Cambria"/>
                <w:b/>
                <w:bCs/>
                <w:color w:val="000000"/>
                <w:sz w:val="16"/>
                <w:szCs w:val="16"/>
              </w:rPr>
              <w:t>PARAGRAFO.</w:t>
            </w:r>
            <w:r w:rsidRPr="00F5102D">
              <w:rPr>
                <w:rFonts w:ascii="Cambria" w:hAnsi="Cambria"/>
                <w:sz w:val="16"/>
                <w:szCs w:val="16"/>
              </w:rPr>
              <w:t> En los casos previstos en los literales a) y b), el impuesto se causará si eventualmente hay lugar al pago de derechos arancelarios.</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Style w:val="baj"/>
                <w:rFonts w:ascii="Cambria" w:hAnsi="Cambria"/>
                <w:b/>
                <w:bCs/>
                <w:color w:val="000000"/>
                <w:sz w:val="16"/>
                <w:szCs w:val="16"/>
              </w:rPr>
            </w:pPr>
            <w:r w:rsidRPr="00F5102D">
              <w:rPr>
                <w:rStyle w:val="baj"/>
                <w:rFonts w:ascii="Cambria" w:hAnsi="Cambria"/>
                <w:b/>
                <w:bCs/>
                <w:color w:val="000000"/>
                <w:sz w:val="16"/>
                <w:szCs w:val="16"/>
              </w:rPr>
              <w:t>PARÁGRAFO 2o.</w:t>
            </w:r>
            <w:r w:rsidRPr="00F5102D">
              <w:rPr>
                <w:rFonts w:ascii="Cambria" w:hAnsi="Cambria"/>
                <w:sz w:val="16"/>
                <w:szCs w:val="16"/>
              </w:rPr>
              <w:t xml:space="preserve">  Para tener derecho al beneficio de que trata el literal g) del presente artículo, en la importación de maquinaria realizada por empresas nuevas que se constituyan a partir de la vigencia de la presente Ley deberá otorga </w:t>
            </w:r>
            <w:proofErr w:type="spellStart"/>
            <w:r w:rsidRPr="00F5102D">
              <w:rPr>
                <w:rFonts w:ascii="Cambria" w:hAnsi="Cambria"/>
                <w:sz w:val="16"/>
                <w:szCs w:val="16"/>
              </w:rPr>
              <w:t>rse</w:t>
            </w:r>
            <w:proofErr w:type="spellEnd"/>
            <w:r w:rsidRPr="00F5102D">
              <w:rPr>
                <w:rFonts w:ascii="Cambria" w:hAnsi="Cambria"/>
                <w:sz w:val="16"/>
                <w:szCs w:val="16"/>
              </w:rPr>
              <w:t xml:space="preserve"> garantía en los términos que establezca el reglamento.</w:t>
            </w:r>
            <w:r w:rsidRPr="00F5102D">
              <w:rPr>
                <w:rStyle w:val="baj"/>
                <w:rFonts w:ascii="Cambria" w:hAnsi="Cambria"/>
                <w:b/>
                <w:bCs/>
                <w:color w:val="000000"/>
                <w:sz w:val="16"/>
                <w:szCs w:val="16"/>
              </w:rPr>
              <w:t xml:space="preserve"> </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3o.</w:t>
            </w:r>
            <w:r w:rsidRPr="00F5102D">
              <w:rPr>
                <w:rFonts w:ascii="Cambria" w:hAnsi="Cambria"/>
                <w:sz w:val="16"/>
                <w:szCs w:val="16"/>
              </w:rPr>
              <w:t>  En todos los casos previstos en este artículo, para la exclusión del impuesto sobre las ventas en la importación deberá obtenerse previamente a la importación una certificación requerida expedida por la autoridad competente.</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TRANSITORIO.</w:t>
            </w:r>
            <w:r w:rsidRPr="00F5102D">
              <w:rPr>
                <w:rFonts w:ascii="Cambria" w:hAnsi="Cambria"/>
                <w:sz w:val="16"/>
                <w:szCs w:val="16"/>
              </w:rPr>
              <w:t>  Una vez vencido el término de que trata el numeral 1 del artículo 675 del Decreto 390 de 2016, el beneficio de que trata el literal g) del presente artículo operará para los operadores económicos autorizados de que trata el Decreto 3568 de 2011 y demás normas que lo modifiquen, adicionen o complementen.</w:t>
            </w:r>
          </w:p>
          <w:p w:rsidR="00AC7F98" w:rsidRDefault="00AC7F98" w:rsidP="00AC7F98">
            <w:pPr>
              <w:jc w:val="both"/>
              <w:rPr>
                <w:rFonts w:ascii="Cambria" w:hAnsi="Cambria"/>
                <w:sz w:val="16"/>
                <w:szCs w:val="16"/>
              </w:rPr>
            </w:pPr>
          </w:p>
          <w:p w:rsidR="00AC7F98" w:rsidRDefault="00AC7F98" w:rsidP="00AC7F98">
            <w:pPr>
              <w:jc w:val="both"/>
              <w:rPr>
                <w:rFonts w:ascii="Cambria" w:hAnsi="Cambria"/>
                <w:sz w:val="16"/>
                <w:szCs w:val="16"/>
              </w:rPr>
            </w:pPr>
            <w:r w:rsidRPr="00F5102D">
              <w:rPr>
                <w:rStyle w:val="baj"/>
                <w:rFonts w:ascii="Cambria" w:hAnsi="Cambria"/>
                <w:b/>
                <w:bCs/>
                <w:color w:val="000000"/>
                <w:sz w:val="16"/>
                <w:szCs w:val="16"/>
              </w:rPr>
              <w:t>PARÁGRAFO 4o.</w:t>
            </w:r>
            <w:r w:rsidRPr="00F5102D">
              <w:rPr>
                <w:rFonts w:ascii="Cambria" w:hAnsi="Cambria"/>
                <w:sz w:val="16"/>
                <w:szCs w:val="16"/>
              </w:rPr>
              <w:t>  Los beneficios previstos en el literal g) de este artículo se aplicarán también cuando los bienes a que se refiere el mismo, sean adquiridos por compañías de financiamiento comercial para darlos en arrendamiento financiero o cuando sean entregados a un patrimonio autónomo como garantía de los créditos otorgados para su adquisición, así como para los contribuyentes que estén o se sometan al tratamiento previsto en la Ley </w:t>
            </w:r>
            <w:hyperlink r:id="rId67" w:anchor="1" w:history="1">
              <w:r w:rsidRPr="00F5102D">
                <w:rPr>
                  <w:rStyle w:val="Hipervnculo"/>
                  <w:rFonts w:ascii="Cambria" w:hAnsi="Cambria" w:cs="Arial"/>
                  <w:color w:val="0073FF"/>
                  <w:sz w:val="16"/>
                  <w:szCs w:val="16"/>
                </w:rPr>
                <w:t>550</w:t>
              </w:r>
            </w:hyperlink>
            <w:r w:rsidRPr="00F5102D">
              <w:rPr>
                <w:rFonts w:ascii="Cambria" w:hAnsi="Cambria"/>
                <w:sz w:val="16"/>
                <w:szCs w:val="16"/>
              </w:rPr>
              <w:t> de 1999, con la condición de que los bienes sean devueltos al término del contrato de fiducia mercantil al mismo fideicomitente y el uso de los mismos se conserve durante todo el tiempo de su vida útil en cabeza de este.</w:t>
            </w:r>
          </w:p>
          <w:p w:rsidR="00AC7F98" w:rsidRDefault="00AC7F98" w:rsidP="00AC7F98">
            <w:pPr>
              <w:jc w:val="both"/>
              <w:rPr>
                <w:rStyle w:val="baj"/>
                <w:rFonts w:ascii="Cambria" w:hAnsi="Cambria"/>
                <w:b/>
                <w:bCs/>
                <w:color w:val="000000"/>
                <w:sz w:val="16"/>
                <w:szCs w:val="16"/>
              </w:rPr>
            </w:pPr>
          </w:p>
          <w:p w:rsidR="00AC7F98" w:rsidRDefault="00AC7F98" w:rsidP="00AC7F98">
            <w:pPr>
              <w:jc w:val="both"/>
              <w:rPr>
                <w:rStyle w:val="baj"/>
                <w:rFonts w:ascii="Cambria" w:hAnsi="Cambria"/>
                <w:b/>
                <w:bCs/>
                <w:color w:val="000000"/>
                <w:sz w:val="16"/>
                <w:szCs w:val="16"/>
              </w:rPr>
            </w:pPr>
          </w:p>
          <w:p w:rsidR="00AC7F98" w:rsidRPr="00F5102D" w:rsidRDefault="00AC7F98" w:rsidP="00AC7F98">
            <w:pPr>
              <w:jc w:val="both"/>
              <w:rPr>
                <w:rFonts w:ascii="Cambria" w:hAnsi="Cambria"/>
                <w:sz w:val="16"/>
                <w:szCs w:val="16"/>
              </w:rPr>
            </w:pPr>
            <w:r w:rsidRPr="00F5102D">
              <w:rPr>
                <w:rStyle w:val="baj"/>
                <w:rFonts w:ascii="Cambria" w:hAnsi="Cambria"/>
                <w:b/>
                <w:bCs/>
                <w:color w:val="000000"/>
                <w:sz w:val="16"/>
                <w:szCs w:val="16"/>
              </w:rPr>
              <w:t>PARÁGRAFO TRANSITORIO.</w:t>
            </w:r>
            <w:r w:rsidRPr="00F5102D">
              <w:rPr>
                <w:rFonts w:ascii="Cambria" w:hAnsi="Cambria"/>
                <w:sz w:val="16"/>
                <w:szCs w:val="16"/>
              </w:rPr>
              <w:t xml:space="preserve">  Para efectos de lo previsto en el literal g) de este artículo, las modificaciones que en el régimen aduanero se introduzcan en relación con la figura de “usuarios altamente exportadores” y la denominación “importación ordinaria”, se entenderán sustituidas, respectivamente, de manera progresiva por la calidad de “Operador Económico Autorizado” si se adquiere tal </w:t>
            </w:r>
            <w:r w:rsidRPr="00F5102D">
              <w:rPr>
                <w:rFonts w:ascii="Cambria" w:hAnsi="Cambria"/>
                <w:sz w:val="16"/>
                <w:szCs w:val="16"/>
              </w:rPr>
              <w:lastRenderedPageBreak/>
              <w:t>calidad, y se remplaza la expresión importación ordinaria por “importación para el consumo.</w:t>
            </w:r>
          </w:p>
          <w:p w:rsidR="00AC7F98" w:rsidRPr="002D2AB4" w:rsidRDefault="00AC7F98" w:rsidP="00AC7F98">
            <w:pPr>
              <w:jc w:val="both"/>
              <w:rPr>
                <w:rFonts w:ascii="Cambria" w:hAnsi="Cambria"/>
                <w:b/>
                <w:sz w:val="16"/>
                <w:szCs w:val="16"/>
              </w:rPr>
            </w:pPr>
          </w:p>
        </w:tc>
      </w:tr>
      <w:tr w:rsidR="00061574" w:rsidTr="0059378C">
        <w:tc>
          <w:tcPr>
            <w:tcW w:w="4958" w:type="dxa"/>
          </w:tcPr>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b/>
                <w:sz w:val="16"/>
                <w:szCs w:val="16"/>
              </w:rPr>
              <w:lastRenderedPageBreak/>
              <w:t>Artículo 437-2. Agentes de retención en el impuesto sobre las venta</w:t>
            </w:r>
            <w:r w:rsidRPr="00BE096C">
              <w:rPr>
                <w:rFonts w:ascii="Cambria" w:hAnsi="Cambria" w:cstheme="minorHAnsi"/>
                <w:sz w:val="16"/>
                <w:szCs w:val="16"/>
              </w:rPr>
              <w:t>s</w:t>
            </w:r>
            <w:r>
              <w:rPr>
                <w:rFonts w:ascii="Cambria" w:hAnsi="Cambria" w:cstheme="minorHAnsi"/>
                <w:sz w:val="16"/>
                <w:szCs w:val="16"/>
              </w:rPr>
              <w:t>.</w:t>
            </w:r>
            <w:r w:rsidRPr="00BE096C">
              <w:rPr>
                <w:rFonts w:ascii="Cambria" w:hAnsi="Cambria" w:cstheme="minorHAnsi"/>
                <w:sz w:val="16"/>
                <w:szCs w:val="16"/>
              </w:rPr>
              <w:t xml:space="preserve"> Actuarán como agentes retenedores del impuesto sobre las ventas en la adquisición de bienes y servicios gravados:</w:t>
            </w:r>
          </w:p>
          <w:p w:rsidR="00061574"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br/>
              <w:t>1) Las siguientes entidades estatales: </w:t>
            </w:r>
            <w:r w:rsidRPr="00BE096C">
              <w:rPr>
                <w:rFonts w:ascii="Cambria" w:hAnsi="Cambria" w:cstheme="minorHAnsi"/>
                <w:sz w:val="16"/>
                <w:szCs w:val="16"/>
              </w:rPr>
              <w:br/>
            </w:r>
            <w:r w:rsidRPr="00BE096C">
              <w:rPr>
                <w:rFonts w:ascii="Cambria" w:hAnsi="Cambria" w:cstheme="minorHAnsi"/>
                <w:sz w:val="16"/>
                <w:szCs w:val="16"/>
              </w:rPr>
              <w:br/>
              <w:t>La Nación, los departamentos, el distrito capital, y los distritos especiales, las áreas metropolitanas, las asociaciones de municipios y los municipios; los establecimientos públicos, las empresas industriales y comerciales del Estado, las sociedades de economía mixta en las que el Estado tenga participación superior al cincuenta por ciento (50%), así como las entidades descentralizadas indirectas y directas y las demás personas jurídicas en las que exista dicha participación pública mayoritaria cualquiera sea la denominación que ellas adopten, en todos los órdenes y niveles y en general los organismos o dependencias del Estado a los que la ley otorgue capacidad para celebrar contratos.</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w:t>
            </w:r>
            <w:r w:rsidRPr="00BE096C">
              <w:rPr>
                <w:rFonts w:ascii="Cambria" w:hAnsi="Cambria" w:cstheme="minorHAnsi"/>
                <w:sz w:val="16"/>
                <w:szCs w:val="16"/>
              </w:rPr>
              <w:br/>
            </w:r>
            <w:r w:rsidRPr="00BE096C">
              <w:rPr>
                <w:rFonts w:ascii="Cambria" w:hAnsi="Cambria" w:cstheme="minorHAnsi"/>
                <w:sz w:val="16"/>
                <w:szCs w:val="16"/>
              </w:rPr>
              <w:br/>
              <w:t>2)  Quienes se encuentren catalogados como grandes contribuyentes por la Dirección de Impuestos y Aduanas Nacionales, sean o no responsables del IVA, y los que mediante resolución de la DIAN se designen como agentes de retención en el impuesto sobre las ventas.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3) Las personas del régimen común, que contraten con personas o entidades sin residencia o domicilio en el país la prestación de servicios gravados en el territorio nacional, con relación a los mismos. </w:t>
            </w:r>
            <w:r w:rsidRPr="00BE096C">
              <w:rPr>
                <w:rFonts w:ascii="Cambria" w:hAnsi="Cambria" w:cstheme="minorHAnsi"/>
                <w:sz w:val="16"/>
                <w:szCs w:val="16"/>
                <w:lang w:eastAsia="es-CO"/>
              </w:rPr>
              <w:br/>
            </w:r>
          </w:p>
          <w:p w:rsidR="00061574" w:rsidRDefault="00061574" w:rsidP="00061574">
            <w:pPr>
              <w:jc w:val="both"/>
              <w:outlineLvl w:val="1"/>
              <w:rPr>
                <w:rFonts w:ascii="Cambria" w:hAnsi="Cambria" w:cstheme="minorHAnsi"/>
                <w:sz w:val="16"/>
                <w:szCs w:val="16"/>
                <w:lang w:eastAsia="es-CO"/>
              </w:rPr>
            </w:pPr>
          </w:p>
          <w:p w:rsidR="00A25070" w:rsidRPr="00BE096C" w:rsidRDefault="00A25070" w:rsidP="00061574">
            <w:pPr>
              <w:jc w:val="both"/>
              <w:outlineLvl w:val="1"/>
              <w:rPr>
                <w:rFonts w:ascii="Cambria" w:hAnsi="Cambria" w:cstheme="minorHAnsi"/>
                <w:sz w:val="16"/>
                <w:szCs w:val="16"/>
                <w:lang w:eastAsia="es-CO"/>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4) Derogado con art. 376 Ley 1819 de 2016</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5)  Las entidades emisoras de tarjetas crédito y débito y sus asociaciones, en el momento del correspondiente pago o abono en cuenta a las personas o establecimientos afiliados. El valor del impuesto no hará parte de la base para determinar las comisiones percibidas por la utilización de las tarjetas débito y crédito.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Cuando los pagos o abonos en cuenta en favor de las personas o establecimientos afiliados a los sistemas de tarjetas de crédito o débito, se realicen por intermedio de las entidades adquirentes o pagadoras, la retención en la fuente deberá ser practicada por dichas entidades.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6.  La Unidad Administrativa de Aeronáutica Civil, por el 100% del impuesto sobre las ventas que se cause en la venta de aerodinos.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7.  Los responsables del Régimen Común proveedores de Sociedades de Comercialización Internacional cuando adquieran bienes corporales muebles o servicios gravados de personas que pertenezcan al Régimen Común, distintos de los agentes de retención mencionados en los numerales 1 y 2, o cuando el pago se realice a través de sistemas de tarjeta débito o crédito, o a través de entidades financieras en los términos del artículo 376-1 de este Estatuto. </w:t>
            </w:r>
          </w:p>
          <w:p w:rsidR="00061574"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lastRenderedPageBreak/>
              <w:t>8. Las entidades emisoras de tarjetas crédito y débito, los vendedores de tarjetas prepago, los recaudadores de efectivo a cargo de terceros, y los demás que designe la Dirección de Impuesto y Aduanas Nacionales -DIAN en el momento del correspondiente pago o abono en cuenta a los prestadores desde el exterior, de los siguientes servicios electrónicos o digitales, cuando el proveedor del servicio se acoja voluntariamente a este sistema alternativo de pago del impuesto:</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a. Suministro de servicios audiovisuales (entre otros, de música, videos, películas y juegos de cualquier tipo, así como la radiodifusión de cualquier tipo de evento).</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b. Servicios prestados a través de plataformas digitales.</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c. Suministro de servicios de publicidad online.</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d. Suministro de enseñanza o entrenamiento a distancia.</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e. Suministro de derechos de uso o explotación de intangibles.</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f. Otros servicios electrónicos o digitales con destino a usuarios ubicados en Colombia.</w:t>
            </w:r>
          </w:p>
          <w:p w:rsidR="00061574" w:rsidRDefault="00061574" w:rsidP="00061574">
            <w:pPr>
              <w:jc w:val="both"/>
              <w:outlineLvl w:val="1"/>
              <w:rPr>
                <w:rFonts w:ascii="Cambria" w:hAnsi="Cambria" w:cstheme="minorHAnsi"/>
                <w:sz w:val="16"/>
                <w:szCs w:val="16"/>
                <w:lang w:eastAsia="es-CO"/>
              </w:rPr>
            </w:pP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9. Los responsables del impuesto sobre las ventas –IVA cuando adquieran bienes corporales muebles o servicios gravados, de personas que se encuentren registradas como contribuyente del impuesto unificado bajo el régimen simple de tributación -SIMPLE.</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xml:space="preserve">Parágrafo 1°. La venta de bienes o prestación de servicios que se realicen entre agentes de retención del impuesto sobre las ventas de que tratan los numerales 1, 2 y 5 de este artículo no se regirá por lo previsto en este artículo.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Parágrafo 2°.  La Dirección de Impuestos y Aduanas Nacionales podrá mediante resolución retirar la calidad de agente de retención del impuesto sobre las ventas a los Grandes Contribuyentes que se encuentren en concordato, liquidación obligatoria, toma de posesión o en negociación de acuerdo de reestructuración, sin afectar por ello su calidad de gran contribuyente.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 xml:space="preserve">PARÁGRAFO 3. Los prestadores de servicios electrónicos o digitales podrán acogerse voluntariamente al sistema de retención previsto en el numeral 8 de este artículo. La Dirección de Impuestos y Aduanas Nacionales -DIAN mediante resolución indicará de manera taxativa el listado de prestadores desde el exterior a los que deberá practicárseles la retención prevista en el numeral 8. Lo anterior sólo será aplicable a los prestadores de servicios electrónicos o digitales que: </w:t>
            </w:r>
          </w:p>
          <w:p w:rsidR="00061574"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1. Realicen de forma exclusiva una o varias actividades de las enunciadas en el numeral 8 de este artículo y las mismas se presten a usuarios en Colombia;</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2. No se hayan acogido al sistema de declaración bimestral del impuesto sobre las ventas –IVA y se acojan voluntariamente a este sistema alternativo de pago del impuesto;</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3. El valor facturado, cobrado y/o exigido a los usuarios ubicados en Colombia corresponda a la base gravable del impuesto sobre las ventas –IVA por los servicios electrónicos o digitales.</w:t>
            </w: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 xml:space="preserve">PARÁGRAFO TRANSITORIO. El sistema de retención previsto en el numeral 8 del este artículo, empezará a regir dentro de los 18 meses siguientes a la entrada en vigencia de esta Ley, siempre y cuando los </w:t>
            </w:r>
            <w:r w:rsidRPr="00BE096C">
              <w:rPr>
                <w:rFonts w:ascii="Cambria" w:hAnsi="Cambria" w:cstheme="minorHAnsi"/>
                <w:sz w:val="16"/>
                <w:szCs w:val="16"/>
                <w:lang w:eastAsia="es-CO"/>
              </w:rPr>
              <w:lastRenderedPageBreak/>
              <w:t>prestadores de los servicios a que se refiere el Parágrafo 2 del artículo 437 incumplan las obligaciones allí previstas.</w:t>
            </w: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La Dirección de Impuestos y Aduanas Nacionales mediante Resolución indicará de manera taxativa el listado de prestadores desde el exterior a los que deberá practicárseles la retención prevista en el numeral octavo.</w:t>
            </w:r>
          </w:p>
          <w:p w:rsidR="00061574" w:rsidRDefault="00061574" w:rsidP="00061574">
            <w:pPr>
              <w:rPr>
                <w:rFonts w:ascii="Cambria" w:hAnsi="Cambria"/>
                <w:sz w:val="20"/>
                <w:szCs w:val="20"/>
                <w:lang w:val="es-ES"/>
              </w:rPr>
            </w:pPr>
          </w:p>
        </w:tc>
        <w:tc>
          <w:tcPr>
            <w:tcW w:w="4865" w:type="dxa"/>
          </w:tcPr>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b/>
                <w:sz w:val="16"/>
                <w:szCs w:val="16"/>
              </w:rPr>
              <w:lastRenderedPageBreak/>
              <w:t>Artículo 437-2. Agentes de retención en el impuesto sobre las venta</w:t>
            </w:r>
            <w:r w:rsidRPr="00BE096C">
              <w:rPr>
                <w:rFonts w:ascii="Cambria" w:hAnsi="Cambria" w:cstheme="minorHAnsi"/>
                <w:sz w:val="16"/>
                <w:szCs w:val="16"/>
              </w:rPr>
              <w:t>s</w:t>
            </w:r>
            <w:r>
              <w:rPr>
                <w:rFonts w:ascii="Cambria" w:hAnsi="Cambria" w:cstheme="minorHAnsi"/>
                <w:sz w:val="16"/>
                <w:szCs w:val="16"/>
              </w:rPr>
              <w:t>.</w:t>
            </w:r>
            <w:r w:rsidRPr="00BE096C">
              <w:rPr>
                <w:rFonts w:ascii="Cambria" w:hAnsi="Cambria" w:cstheme="minorHAnsi"/>
                <w:sz w:val="16"/>
                <w:szCs w:val="16"/>
              </w:rPr>
              <w:t xml:space="preserve"> </w:t>
            </w:r>
            <w:r>
              <w:rPr>
                <w:rFonts w:ascii="Cambria" w:hAnsi="Cambria" w:cstheme="minorHAnsi"/>
                <w:sz w:val="16"/>
                <w:szCs w:val="16"/>
              </w:rPr>
              <w:t>(</w:t>
            </w:r>
            <w:r w:rsidRPr="00061574">
              <w:rPr>
                <w:rFonts w:ascii="Cambria" w:hAnsi="Cambria" w:cstheme="minorHAnsi"/>
                <w:b/>
                <w:bCs/>
                <w:color w:val="FF0000"/>
                <w:sz w:val="16"/>
                <w:szCs w:val="16"/>
              </w:rPr>
              <w:t xml:space="preserve">modificado con artículo 63 proyecto de </w:t>
            </w:r>
            <w:r w:rsidR="00FB60A2">
              <w:rPr>
                <w:rFonts w:ascii="Cambria" w:hAnsi="Cambria" w:cstheme="minorHAnsi"/>
                <w:b/>
                <w:bCs/>
                <w:color w:val="FF0000"/>
                <w:sz w:val="16"/>
                <w:szCs w:val="16"/>
              </w:rPr>
              <w:t>Ley de septiembre de 2025</w:t>
            </w:r>
            <w:r w:rsidRPr="00061574">
              <w:rPr>
                <w:rFonts w:ascii="Cambria" w:hAnsi="Cambria" w:cstheme="minorHAnsi"/>
                <w:b/>
                <w:bCs/>
                <w:color w:val="FF0000"/>
                <w:sz w:val="16"/>
                <w:szCs w:val="16"/>
              </w:rPr>
              <w:t>)</w:t>
            </w:r>
            <w:r w:rsidRPr="00061574">
              <w:rPr>
                <w:rFonts w:ascii="Cambria" w:hAnsi="Cambria" w:cstheme="minorHAnsi"/>
                <w:color w:val="FF0000"/>
                <w:sz w:val="16"/>
                <w:szCs w:val="16"/>
              </w:rPr>
              <w:t xml:space="preserve"> </w:t>
            </w:r>
            <w:r w:rsidRPr="00BE096C">
              <w:rPr>
                <w:rFonts w:ascii="Cambria" w:hAnsi="Cambria" w:cstheme="minorHAnsi"/>
                <w:sz w:val="16"/>
                <w:szCs w:val="16"/>
              </w:rPr>
              <w:t>Actuarán como agentes retenedores del impuesto sobre las ventas en la adquisición de bienes y servicios gravados:</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br/>
              <w:t>1) Las siguientes entidades estatales: </w:t>
            </w:r>
            <w:r w:rsidRPr="00BE096C">
              <w:rPr>
                <w:rFonts w:ascii="Cambria" w:hAnsi="Cambria" w:cstheme="minorHAnsi"/>
                <w:sz w:val="16"/>
                <w:szCs w:val="16"/>
              </w:rPr>
              <w:br/>
            </w:r>
            <w:r w:rsidRPr="00BE096C">
              <w:rPr>
                <w:rFonts w:ascii="Cambria" w:hAnsi="Cambria" w:cstheme="minorHAnsi"/>
                <w:sz w:val="16"/>
                <w:szCs w:val="16"/>
              </w:rPr>
              <w:br/>
              <w:t>La Nación, los departamentos, el distrito capital, y los distritos especiales, las áreas metropolitanas, las asociaciones de municipios y los municipios; los establecimientos públicos, las empresas industriales y comerciales del Estado, las sociedades de economía mixta en las que el Estado tenga participación superior al cincuenta por ciento (50%), así como las entidades descentralizadas indirectas y directas y las demás personas jurídicas en las que exista dicha participación pública mayoritaria cualquiera sea la denominación que ellas adopten, en todos los órdenes y niveles y en general los organismos o dependencias del Estado a los que la ley otorgue capacidad para celebrar contratos.</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w:t>
            </w:r>
            <w:r w:rsidRPr="00BE096C">
              <w:rPr>
                <w:rFonts w:ascii="Cambria" w:hAnsi="Cambria" w:cstheme="minorHAnsi"/>
                <w:sz w:val="16"/>
                <w:szCs w:val="16"/>
              </w:rPr>
              <w:br/>
            </w:r>
            <w:r w:rsidRPr="00BE096C">
              <w:rPr>
                <w:rFonts w:ascii="Cambria" w:hAnsi="Cambria" w:cstheme="minorHAnsi"/>
                <w:sz w:val="16"/>
                <w:szCs w:val="16"/>
              </w:rPr>
              <w:br/>
              <w:t>2)  Quienes se encuentren catalogados como grandes contribuyentes por la Dirección de Impuestos y Aduanas Nacionales, sean o no responsables del IVA, y los que mediante resolución de la DIAN se designen como agentes de retención en el impuesto sobre las ventas.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 xml:space="preserve">3) Las personas </w:t>
            </w:r>
            <w:r w:rsidR="002510BD">
              <w:rPr>
                <w:rFonts w:ascii="Cambria" w:hAnsi="Cambria" w:cstheme="minorHAnsi"/>
                <w:sz w:val="16"/>
                <w:szCs w:val="16"/>
                <w:lang w:eastAsia="es-CO"/>
              </w:rPr>
              <w:t>responsables del impuesto sobre las ventas</w:t>
            </w:r>
            <w:r w:rsidRPr="00BE096C">
              <w:rPr>
                <w:rFonts w:ascii="Cambria" w:hAnsi="Cambria" w:cstheme="minorHAnsi"/>
                <w:sz w:val="16"/>
                <w:szCs w:val="16"/>
                <w:lang w:eastAsia="es-CO"/>
              </w:rPr>
              <w:t xml:space="preserve">, </w:t>
            </w:r>
            <w:r w:rsidR="00A25070" w:rsidRPr="00A25070">
              <w:rPr>
                <w:rFonts w:ascii="Cambria" w:hAnsi="Cambria" w:cstheme="minorHAnsi"/>
                <w:sz w:val="16"/>
                <w:szCs w:val="16"/>
                <w:highlight w:val="yellow"/>
                <w:lang w:eastAsia="es-CO"/>
              </w:rPr>
              <w:t>y aquellos que se encuentren calificados como grandes contribuyentes</w:t>
            </w:r>
            <w:r w:rsidR="00A25070">
              <w:rPr>
                <w:rFonts w:ascii="Cambria" w:hAnsi="Cambria" w:cstheme="minorHAnsi"/>
                <w:sz w:val="16"/>
                <w:szCs w:val="16"/>
                <w:lang w:eastAsia="es-CO"/>
              </w:rPr>
              <w:t xml:space="preserve">, </w:t>
            </w:r>
            <w:r w:rsidRPr="00BE096C">
              <w:rPr>
                <w:rFonts w:ascii="Cambria" w:hAnsi="Cambria" w:cstheme="minorHAnsi"/>
                <w:sz w:val="16"/>
                <w:szCs w:val="16"/>
                <w:lang w:eastAsia="es-CO"/>
              </w:rPr>
              <w:t>que contraten con personas o entidades sin residencia o domicilio en el país la prestación de servicios gravados en el territorio nacional, con relación a los mismos. </w:t>
            </w:r>
            <w:r w:rsidRPr="00BE096C">
              <w:rPr>
                <w:rFonts w:ascii="Cambria" w:hAnsi="Cambria" w:cstheme="minorHAnsi"/>
                <w:sz w:val="16"/>
                <w:szCs w:val="16"/>
                <w:lang w:eastAsia="es-CO"/>
              </w:rPr>
              <w:br/>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4) Derogado con art. 376 Ley 1819 de 2016</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5)  Las entidades emisoras de tarjetas crédito y débito y sus asociaciones, en el momento del correspondiente pago o abono en cuenta a las personas o establecimientos afiliados. El valor del impuesto no hará parte de la base para determinar las comisiones percibidas por la utilización de las tarjetas débito y crédito.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Cuando los pagos o abonos en cuenta en favor de las personas o establecimientos afiliados a los sistemas de tarjetas de crédito o débito, se realicen por intermedio de las entidades adquirentes o pagadoras, la retención en la fuente deberá ser practicada por dichas entidades.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6.  La Unidad Administrativa de Aeronáutica Civil, por el 100% del impuesto sobre las ventas que se cause en la venta de aerodinos.   </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7.  Los responsables del Régimen Común proveedores de Sociedades de Comercialización Internacional cuando adquieran bienes corporales muebles o servicios gravados de personas que pertenezcan al Régimen Común, distintos de los agentes de retención mencionados en los numerales 1 y 2, o cuando el pago se realice a través de sistemas de tarjeta débito o crédito, o a través de entidades financieras en los términos del artículo 376-1 de este Estatuto.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lastRenderedPageBreak/>
              <w:t>8. Las entidades emisoras de tarjetas crédito y débito, los vendedores de tarjetas prepago, los recaudadores de efectivo a cargo de terceros, y los demás que designe la Dirección de Impuesto y Aduanas Nacionales -DIAN en el momento del correspondiente pago o abono en cuenta a los prestadores desde el exterior, de los siguientes servicios electrónicos o digitales, cuando el proveedor del servicio se acoja voluntariamente a este sistema alternativo de pago del impuesto:</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a. Suministro de servicios audiovisuales (entre otros, de música, videos, películas y juegos de cualquier tipo, así como la radiodifusión de cualquier tipo de evento).</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b. Servicios prestados a través de plataformas digitales.</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c. Suministro de servicios de publicidad online.</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d. Suministro de enseñanza o entrenamiento a distancia.</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e. Suministro de derechos de uso o explotación de intangibles.</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f. Otros servicios electrónicos o digitales con destino a usuarios ubicados en Colombia.</w:t>
            </w:r>
          </w:p>
          <w:p w:rsidR="00061574" w:rsidRPr="00BE096C" w:rsidRDefault="00061574" w:rsidP="00061574">
            <w:pPr>
              <w:jc w:val="both"/>
              <w:outlineLvl w:val="1"/>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9. Los responsables del impuesto sobre las ventas –IVA cuando adquieran bienes corporales muebles o servicios gravados, de personas que se encuentren registradas como contribuyente del impuesto unificado bajo el régimen simple de tributación -SIMPLE.</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xml:space="preserve">Parágrafo 1°. La venta de bienes o prestación de servicios que se realicen entre agentes de retención del impuesto sobre las ventas de que tratan los numerales 1, 2 y 5 de este artículo no se regirá por lo previsto en este artículo.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Parágrafo 2°.  La Dirección de Impuestos y Aduanas Nacionales podrá mediante resolución retirar la calidad de agente de retención del impuesto sobre las ventas a los Grandes Contribuyentes que se encuentren en concordato, liquidación obligatoria, toma de posesión o en negociación de acuerdo de reestructuración, sin afectar por ello su calidad de gran contribuyente.   </w:t>
            </w:r>
          </w:p>
          <w:p w:rsidR="00061574" w:rsidRPr="00BE096C" w:rsidRDefault="00061574" w:rsidP="00061574">
            <w:pPr>
              <w:pStyle w:val="NormalWeb"/>
              <w:spacing w:before="0" w:beforeAutospacing="0" w:after="0" w:afterAutospacing="0"/>
              <w:jc w:val="both"/>
              <w:rPr>
                <w:rFonts w:ascii="Cambria" w:hAnsi="Cambria" w:cstheme="minorHAnsi"/>
                <w:sz w:val="16"/>
                <w:szCs w:val="16"/>
              </w:rPr>
            </w:pPr>
            <w:r w:rsidRPr="00BE096C">
              <w:rPr>
                <w:rFonts w:ascii="Cambria" w:hAnsi="Cambria" w:cstheme="minorHAnsi"/>
                <w:sz w:val="16"/>
                <w:szCs w:val="16"/>
              </w:rPr>
              <w:t>  </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 xml:space="preserve">PARÁGRAFO 3. Los prestadores de servicios electrónicos o digitales podrán acogerse voluntariamente al sistema de retención previsto en el numeral 8 de este artículo. La Dirección de Impuestos y Aduanas Nacionales -DIAN mediante resolución indicará de manera taxativa el listado de prestadores desde el exterior a los que deberá practicárseles la retención prevista en el numeral 8. Lo anterior sólo será aplicable a los prestadores de servicios electrónicos o digitales que: </w:t>
            </w:r>
          </w:p>
          <w:p w:rsidR="00061574" w:rsidRPr="00BE096C" w:rsidRDefault="00061574" w:rsidP="00061574">
            <w:pPr>
              <w:jc w:val="both"/>
              <w:rPr>
                <w:rFonts w:ascii="Cambria" w:hAnsi="Cambria" w:cstheme="minorHAnsi"/>
                <w:sz w:val="16"/>
                <w:szCs w:val="16"/>
              </w:rPr>
            </w:pP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1. Realicen de forma exclusiva una o varias actividades de las enunciadas en el numeral 8 de este artículo y las mismas se presten a usuarios en Colombia;</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2. No se hayan acogido al sistema de declaración bimestral del impuesto sobre las ventas –IVA y se acojan voluntariamente a este sistema alternativo de pago del impuesto;</w:t>
            </w:r>
          </w:p>
          <w:p w:rsidR="00061574" w:rsidRPr="00BE096C" w:rsidRDefault="00061574" w:rsidP="00061574">
            <w:pPr>
              <w:jc w:val="both"/>
              <w:rPr>
                <w:rFonts w:ascii="Cambria" w:hAnsi="Cambria" w:cstheme="minorHAnsi"/>
                <w:sz w:val="16"/>
                <w:szCs w:val="16"/>
              </w:rPr>
            </w:pPr>
            <w:r w:rsidRPr="00BE096C">
              <w:rPr>
                <w:rFonts w:ascii="Cambria" w:hAnsi="Cambria" w:cstheme="minorHAnsi"/>
                <w:sz w:val="16"/>
                <w:szCs w:val="16"/>
              </w:rPr>
              <w:t>3. El valor facturado, cobrado y/o exigido a los usuarios ubicados en Colombia corresponda a la base gravable del impuesto sobre las ventas –IVA por los servicios electrónicos o digitales.</w:t>
            </w: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 xml:space="preserve">PARÁGRAFO TRANSITORIO. El sistema de retención previsto en el numeral 8 del este artículo, empezará a regir dentro de los 18 meses siguientes a la entrada en vigencia de esta Ley, siempre y cuando los </w:t>
            </w:r>
            <w:r w:rsidRPr="00BE096C">
              <w:rPr>
                <w:rFonts w:ascii="Cambria" w:hAnsi="Cambria" w:cstheme="minorHAnsi"/>
                <w:sz w:val="16"/>
                <w:szCs w:val="16"/>
                <w:lang w:eastAsia="es-CO"/>
              </w:rPr>
              <w:lastRenderedPageBreak/>
              <w:t>prestadores de los servicios a que se refiere el Parágrafo 2 del artículo 437 incumplan las obligaciones allí previstas.</w:t>
            </w:r>
          </w:p>
          <w:p w:rsidR="00061574" w:rsidRPr="00BE096C" w:rsidRDefault="00061574" w:rsidP="00061574">
            <w:pPr>
              <w:jc w:val="both"/>
              <w:rPr>
                <w:rFonts w:ascii="Cambria" w:hAnsi="Cambria" w:cstheme="minorHAnsi"/>
                <w:sz w:val="16"/>
                <w:szCs w:val="16"/>
                <w:lang w:eastAsia="es-CO"/>
              </w:rPr>
            </w:pPr>
          </w:p>
          <w:p w:rsidR="00061574" w:rsidRPr="00BE096C" w:rsidRDefault="00061574" w:rsidP="00061574">
            <w:pPr>
              <w:jc w:val="both"/>
              <w:rPr>
                <w:rFonts w:ascii="Cambria" w:hAnsi="Cambria" w:cstheme="minorHAnsi"/>
                <w:sz w:val="16"/>
                <w:szCs w:val="16"/>
                <w:lang w:eastAsia="es-CO"/>
              </w:rPr>
            </w:pPr>
            <w:r w:rsidRPr="00BE096C">
              <w:rPr>
                <w:rFonts w:ascii="Cambria" w:hAnsi="Cambria" w:cstheme="minorHAnsi"/>
                <w:sz w:val="16"/>
                <w:szCs w:val="16"/>
                <w:lang w:eastAsia="es-CO"/>
              </w:rPr>
              <w:t>La Dirección de Impuestos y Aduanas Nacionales mediante Resolución indicará de manera taxativa el listado de prestadores desde el exterior a los que deberá practicárseles la retención prevista en el numeral octavo.</w:t>
            </w:r>
          </w:p>
          <w:p w:rsidR="00061574" w:rsidRDefault="00061574" w:rsidP="00061574">
            <w:pPr>
              <w:rPr>
                <w:rFonts w:ascii="Cambria" w:hAnsi="Cambria"/>
                <w:sz w:val="20"/>
                <w:szCs w:val="20"/>
                <w:lang w:val="es-ES"/>
              </w:rPr>
            </w:pPr>
          </w:p>
        </w:tc>
      </w:tr>
      <w:tr w:rsidR="00A54FA1" w:rsidTr="0059378C">
        <w:tc>
          <w:tcPr>
            <w:tcW w:w="4958" w:type="dxa"/>
          </w:tcPr>
          <w:p w:rsidR="00A54FA1" w:rsidRPr="00A54FA1" w:rsidRDefault="00A54FA1" w:rsidP="00A54FA1">
            <w:pPr>
              <w:jc w:val="both"/>
              <w:rPr>
                <w:rFonts w:ascii="Cambria" w:hAnsi="Cambria"/>
                <w:sz w:val="16"/>
                <w:szCs w:val="16"/>
              </w:rPr>
            </w:pPr>
            <w:r w:rsidRPr="00A54FA1">
              <w:rPr>
                <w:rFonts w:ascii="Cambria" w:hAnsi="Cambria"/>
                <w:b/>
                <w:bCs/>
                <w:color w:val="000000" w:themeColor="text1"/>
                <w:sz w:val="16"/>
                <w:szCs w:val="16"/>
              </w:rPr>
              <w:lastRenderedPageBreak/>
              <w:t>Articulo 462-1. Base gravable especial</w:t>
            </w:r>
            <w:r>
              <w:rPr>
                <w:rFonts w:ascii="Cambria" w:hAnsi="Cambria"/>
                <w:b/>
                <w:bCs/>
                <w:color w:val="000000" w:themeColor="text1"/>
                <w:sz w:val="16"/>
                <w:szCs w:val="16"/>
              </w:rPr>
              <w:t>.</w:t>
            </w:r>
            <w:r w:rsidRPr="00A54FA1">
              <w:rPr>
                <w:rFonts w:ascii="Cambria" w:hAnsi="Cambria"/>
                <w:sz w:val="16"/>
                <w:szCs w:val="16"/>
              </w:rPr>
              <w:t>  Para los servicios integrales de aseo y cafetería, de vigilancia, autorizados por la Superintendencia de Vigilancia Privada, de servicios temporales prestados por empresas autorizadas por el Ministerio del Trabajo y en los prestados por las cooperativas y precooperativas de trabajo asociado en cuanto a mano de obra se refiere, vigiladas por la Superintendencia de Economía Solidaria o quien haga sus veces, a las cuales se les haya expedido resolución de registro por parte del Ministerio del Trabajo, de los regímenes de trabajo asociado, compensaciones y seguridad social, como también a los prestados por los sindicatos con personería jurídica vigente en desarrollo de contratos sindicales debidamente depositados ante el Ministerio de Trabajo, la tarifa será del 16%* en la parte correspondiente al AIU (Administración, Imprevistos y Utilidad), que no podrá ser inferior al diez por ciento (10%) del valor del contrato.</w:t>
            </w:r>
          </w:p>
          <w:p w:rsidR="00A54FA1" w:rsidRDefault="00A54FA1" w:rsidP="00A54FA1">
            <w:pPr>
              <w:jc w:val="both"/>
              <w:rPr>
                <w:rFonts w:ascii="Cambria" w:hAnsi="Cambria"/>
                <w:sz w:val="16"/>
                <w:szCs w:val="16"/>
              </w:rPr>
            </w:pPr>
          </w:p>
          <w:p w:rsidR="00A54FA1" w:rsidRPr="00A54FA1" w:rsidRDefault="00A54FA1" w:rsidP="00A54FA1">
            <w:pPr>
              <w:jc w:val="both"/>
              <w:rPr>
                <w:rFonts w:ascii="Cambria" w:hAnsi="Cambria"/>
                <w:sz w:val="16"/>
                <w:szCs w:val="16"/>
              </w:rPr>
            </w:pPr>
          </w:p>
          <w:p w:rsidR="00A54FA1" w:rsidRPr="00A54FA1" w:rsidRDefault="00A54FA1" w:rsidP="00A54FA1">
            <w:pPr>
              <w:jc w:val="both"/>
              <w:rPr>
                <w:rFonts w:ascii="Cambria" w:hAnsi="Cambria"/>
                <w:sz w:val="16"/>
                <w:szCs w:val="16"/>
              </w:rPr>
            </w:pPr>
            <w:r w:rsidRPr="00A54FA1">
              <w:rPr>
                <w:rFonts w:ascii="Cambria" w:hAnsi="Cambria"/>
                <w:sz w:val="16"/>
                <w:szCs w:val="16"/>
              </w:rPr>
              <w:t>Para efectos de lo previsto en este artículo, el contribuyente deberá haber cumplido con todas las obligaciones laborales, o de compensaciones si se trata de cooperativas, precooperativas de trabajo asociado o sindicatos en desarrollo del contrato sindical y las atinentes a la seguridad social.</w:t>
            </w:r>
          </w:p>
          <w:p w:rsidR="00A54FA1" w:rsidRPr="00A54FA1" w:rsidRDefault="00A54FA1" w:rsidP="00A54FA1">
            <w:pPr>
              <w:jc w:val="both"/>
              <w:rPr>
                <w:rStyle w:val="baj"/>
                <w:rFonts w:ascii="Cambria" w:hAnsi="Cambria"/>
                <w:b/>
                <w:bCs/>
                <w:color w:val="000000"/>
                <w:sz w:val="16"/>
                <w:szCs w:val="16"/>
              </w:rPr>
            </w:pPr>
          </w:p>
          <w:p w:rsidR="00A54FA1" w:rsidRPr="00A54FA1" w:rsidRDefault="00A54FA1" w:rsidP="00A54FA1">
            <w:pPr>
              <w:jc w:val="both"/>
              <w:rPr>
                <w:rFonts w:ascii="Cambria" w:hAnsi="Cambria"/>
                <w:sz w:val="16"/>
                <w:szCs w:val="16"/>
              </w:rPr>
            </w:pPr>
            <w:r w:rsidRPr="00A54FA1">
              <w:rPr>
                <w:rStyle w:val="baj"/>
                <w:rFonts w:ascii="Cambria" w:hAnsi="Cambria"/>
                <w:b/>
                <w:bCs/>
                <w:color w:val="000000"/>
                <w:sz w:val="16"/>
                <w:szCs w:val="16"/>
              </w:rPr>
              <w:t>PARÁGRAFO.</w:t>
            </w:r>
            <w:r w:rsidRPr="00A54FA1">
              <w:rPr>
                <w:rFonts w:ascii="Cambria" w:hAnsi="Cambria"/>
                <w:sz w:val="16"/>
                <w:szCs w:val="16"/>
              </w:rPr>
              <w:t>   Esta base gravable especial se aplicará igualmente al Impuesto de Industria y Comercio y Complementarios, para efectos de la aplicación de la retención en la fuente del impuesto sobre la renta y de la retención en la fuente sobre el Impuesto de Industria y Comercio y Complementarios, así como para otros impuestos, tasas y contribuciones de orden territorial.</w:t>
            </w:r>
          </w:p>
          <w:p w:rsidR="00A54FA1" w:rsidRPr="00A54FA1" w:rsidRDefault="00A54FA1" w:rsidP="00A54FA1">
            <w:pPr>
              <w:jc w:val="both"/>
              <w:rPr>
                <w:rFonts w:ascii="Cambria" w:hAnsi="Cambria"/>
                <w:sz w:val="16"/>
                <w:szCs w:val="16"/>
              </w:rPr>
            </w:pPr>
          </w:p>
          <w:p w:rsidR="00A54FA1" w:rsidRPr="00A54FA1" w:rsidRDefault="00A54FA1" w:rsidP="00A54FA1">
            <w:pPr>
              <w:jc w:val="both"/>
              <w:rPr>
                <w:rFonts w:ascii="Cambria" w:hAnsi="Cambria"/>
                <w:sz w:val="16"/>
                <w:szCs w:val="16"/>
                <w:highlight w:val="yellow"/>
              </w:rPr>
            </w:pPr>
            <w:r w:rsidRPr="00A54FA1">
              <w:rPr>
                <w:rFonts w:ascii="Cambria" w:hAnsi="Cambria"/>
                <w:b/>
                <w:bCs/>
                <w:sz w:val="16"/>
                <w:szCs w:val="16"/>
                <w:highlight w:val="yellow"/>
              </w:rPr>
              <w:t>PARÁGRAFO 2</w:t>
            </w:r>
            <w:r w:rsidRPr="00A54FA1">
              <w:rPr>
                <w:rFonts w:ascii="Cambria" w:hAnsi="Cambria"/>
                <w:sz w:val="16"/>
                <w:szCs w:val="16"/>
                <w:highlight w:val="yellow"/>
              </w:rPr>
              <w:t>. El servicio de transporte de valores, autorizado por la</w:t>
            </w:r>
          </w:p>
          <w:p w:rsidR="00A54FA1" w:rsidRPr="00A54FA1" w:rsidRDefault="00A54FA1" w:rsidP="00A54FA1">
            <w:pPr>
              <w:jc w:val="both"/>
              <w:rPr>
                <w:rFonts w:ascii="Cambria" w:hAnsi="Cambria"/>
                <w:sz w:val="16"/>
                <w:szCs w:val="16"/>
              </w:rPr>
            </w:pPr>
            <w:r w:rsidRPr="00A54FA1">
              <w:rPr>
                <w:rFonts w:ascii="Cambria" w:hAnsi="Cambria"/>
                <w:sz w:val="16"/>
                <w:szCs w:val="16"/>
                <w:highlight w:val="yellow"/>
              </w:rPr>
              <w:t>Superintendencia de Vigilancia Privada, cambia su tratamiento de excluido a gravado, siguiendo el tratamiento dispuesto en el presente artículo.</w:t>
            </w:r>
          </w:p>
          <w:p w:rsidR="00A54FA1" w:rsidRPr="00A54FA1" w:rsidRDefault="00A54FA1" w:rsidP="00A54FA1">
            <w:pPr>
              <w:jc w:val="both"/>
              <w:rPr>
                <w:rFonts w:ascii="Cambria" w:hAnsi="Cambria"/>
                <w:b/>
                <w:bCs/>
                <w:color w:val="000000" w:themeColor="text1"/>
                <w:sz w:val="16"/>
                <w:szCs w:val="16"/>
              </w:rPr>
            </w:pPr>
          </w:p>
        </w:tc>
        <w:tc>
          <w:tcPr>
            <w:tcW w:w="4865" w:type="dxa"/>
          </w:tcPr>
          <w:p w:rsidR="00A54FA1" w:rsidRPr="00A54FA1" w:rsidRDefault="00A54FA1" w:rsidP="00A54FA1">
            <w:pPr>
              <w:jc w:val="both"/>
              <w:rPr>
                <w:rFonts w:ascii="Cambria" w:hAnsi="Cambria"/>
                <w:sz w:val="16"/>
                <w:szCs w:val="16"/>
              </w:rPr>
            </w:pPr>
            <w:r w:rsidRPr="00A54FA1">
              <w:rPr>
                <w:rFonts w:ascii="Cambria" w:hAnsi="Cambria"/>
                <w:b/>
                <w:bCs/>
                <w:color w:val="000000" w:themeColor="text1"/>
                <w:sz w:val="16"/>
                <w:szCs w:val="16"/>
              </w:rPr>
              <w:t>Articulo 462-1. Base gravable especial (</w:t>
            </w:r>
            <w:r w:rsidRPr="00A54FA1">
              <w:rPr>
                <w:rFonts w:ascii="Cambria" w:hAnsi="Cambria"/>
                <w:b/>
                <w:bCs/>
                <w:color w:val="FF0000"/>
                <w:sz w:val="16"/>
                <w:szCs w:val="16"/>
              </w:rPr>
              <w:t xml:space="preserve">modificado con artículo </w:t>
            </w:r>
            <w:r>
              <w:rPr>
                <w:rFonts w:ascii="Cambria" w:hAnsi="Cambria"/>
                <w:b/>
                <w:bCs/>
                <w:color w:val="FF0000"/>
                <w:sz w:val="16"/>
                <w:szCs w:val="16"/>
              </w:rPr>
              <w:t>95</w:t>
            </w:r>
            <w:r w:rsidRPr="00A54FA1">
              <w:rPr>
                <w:rFonts w:ascii="Cambria" w:hAnsi="Cambria"/>
                <w:b/>
                <w:bCs/>
                <w:color w:val="FF0000"/>
                <w:sz w:val="16"/>
                <w:szCs w:val="16"/>
              </w:rPr>
              <w:t xml:space="preserve"> </w:t>
            </w:r>
            <w:r w:rsidR="00852E78">
              <w:rPr>
                <w:rFonts w:ascii="Cambria" w:hAnsi="Cambria"/>
                <w:b/>
                <w:bCs/>
                <w:color w:val="FF0000"/>
                <w:sz w:val="16"/>
                <w:szCs w:val="16"/>
              </w:rPr>
              <w:t>proyecto de Ley de septiembre de</w:t>
            </w:r>
            <w:r w:rsidRPr="00A54FA1">
              <w:rPr>
                <w:rFonts w:ascii="Cambria" w:hAnsi="Cambria"/>
                <w:b/>
                <w:bCs/>
                <w:color w:val="FF0000"/>
                <w:sz w:val="16"/>
                <w:szCs w:val="16"/>
              </w:rPr>
              <w:t xml:space="preserve">  202</w:t>
            </w:r>
            <w:r w:rsidR="00852E78">
              <w:rPr>
                <w:rFonts w:ascii="Cambria" w:hAnsi="Cambria"/>
                <w:b/>
                <w:bCs/>
                <w:color w:val="FF0000"/>
                <w:sz w:val="16"/>
                <w:szCs w:val="16"/>
              </w:rPr>
              <w:t>5</w:t>
            </w:r>
            <w:r w:rsidRPr="00A54FA1">
              <w:rPr>
                <w:rFonts w:ascii="Cambria" w:hAnsi="Cambria"/>
                <w:b/>
                <w:bCs/>
                <w:color w:val="FF0000"/>
                <w:sz w:val="16"/>
                <w:szCs w:val="16"/>
              </w:rPr>
              <w:t>)</w:t>
            </w:r>
            <w:r w:rsidRPr="00A54FA1">
              <w:rPr>
                <w:rFonts w:ascii="Cambria" w:hAnsi="Cambria"/>
                <w:b/>
                <w:bCs/>
                <w:color w:val="BE9E55"/>
                <w:sz w:val="16"/>
                <w:szCs w:val="16"/>
              </w:rPr>
              <w:t>.</w:t>
            </w:r>
            <w:r w:rsidRPr="00A54FA1">
              <w:rPr>
                <w:rFonts w:ascii="Cambria" w:hAnsi="Cambria"/>
                <w:sz w:val="16"/>
                <w:szCs w:val="16"/>
              </w:rPr>
              <w:t>  Para los servicios integrales de aseo y cafetería, de vigilancia, autorizados por la Superintendencia de Vigilancia Privada, de servicios temporales prestados por empresas autorizadas por el Ministerio del Trabajo y en los prestados por las cooperativas y precooperativas de trabajo asociado en cuanto a mano de obra se refiere, vigiladas por la Superintendencia de Economía Solidaria o quien haga sus veces, a las cuales se les haya expedido resolución de registro por parte del Ministerio del Trabajo, de los regímenes de trabajo asociado, compensaciones y seguridad social, como también a los prestados por los sindicatos con personería jurídica vigente en desarrollo de contratos sindicales debidamente depositados ante el Ministerio de Trabajo, la tarifa será del 16%* en la parte correspondiente al AIU (Administración, Imprevistos y Utilidad), que no podrá ser inferior al diez por ciento (10%) del valor del contrato.</w:t>
            </w:r>
          </w:p>
          <w:p w:rsidR="00A54FA1" w:rsidRPr="00A54FA1" w:rsidRDefault="00A54FA1" w:rsidP="00A54FA1">
            <w:pPr>
              <w:jc w:val="both"/>
              <w:rPr>
                <w:rFonts w:ascii="Cambria" w:hAnsi="Cambria"/>
                <w:sz w:val="16"/>
                <w:szCs w:val="16"/>
              </w:rPr>
            </w:pPr>
          </w:p>
          <w:p w:rsidR="00A54FA1" w:rsidRPr="00A54FA1" w:rsidRDefault="00A54FA1" w:rsidP="00A54FA1">
            <w:pPr>
              <w:jc w:val="both"/>
              <w:rPr>
                <w:rFonts w:ascii="Cambria" w:hAnsi="Cambria"/>
                <w:sz w:val="16"/>
                <w:szCs w:val="16"/>
              </w:rPr>
            </w:pPr>
            <w:r w:rsidRPr="00A54FA1">
              <w:rPr>
                <w:rFonts w:ascii="Cambria" w:hAnsi="Cambria"/>
                <w:sz w:val="16"/>
                <w:szCs w:val="16"/>
              </w:rPr>
              <w:t>Para efectos de lo previsto en este artículo, el contribuyente deberá haber cumplido con todas las obligaciones laborales, o de compensaciones si se trata de cooperativas, precooperativas de trabajo asociado o sindicatos en desarrollo del contrato sindical y las atinentes a la seguridad social.</w:t>
            </w:r>
          </w:p>
          <w:p w:rsidR="00A54FA1" w:rsidRPr="00A54FA1" w:rsidRDefault="00A54FA1" w:rsidP="00A54FA1">
            <w:pPr>
              <w:jc w:val="both"/>
              <w:rPr>
                <w:rStyle w:val="baj"/>
                <w:rFonts w:ascii="Cambria" w:hAnsi="Cambria"/>
                <w:b/>
                <w:bCs/>
                <w:color w:val="000000"/>
                <w:sz w:val="16"/>
                <w:szCs w:val="16"/>
              </w:rPr>
            </w:pPr>
          </w:p>
          <w:p w:rsidR="00A54FA1" w:rsidRPr="00A54FA1" w:rsidRDefault="00A54FA1" w:rsidP="00A54FA1">
            <w:pPr>
              <w:jc w:val="both"/>
              <w:rPr>
                <w:rFonts w:ascii="Cambria" w:hAnsi="Cambria"/>
                <w:sz w:val="16"/>
                <w:szCs w:val="16"/>
              </w:rPr>
            </w:pPr>
            <w:r w:rsidRPr="00A54FA1">
              <w:rPr>
                <w:rStyle w:val="baj"/>
                <w:rFonts w:ascii="Cambria" w:hAnsi="Cambria"/>
                <w:b/>
                <w:bCs/>
                <w:color w:val="000000"/>
                <w:sz w:val="16"/>
                <w:szCs w:val="16"/>
              </w:rPr>
              <w:t>PARÁGRAFO.</w:t>
            </w:r>
            <w:r w:rsidRPr="00A54FA1">
              <w:rPr>
                <w:rFonts w:ascii="Cambria" w:hAnsi="Cambria"/>
                <w:sz w:val="16"/>
                <w:szCs w:val="16"/>
              </w:rPr>
              <w:t>   Esta base gravable especial se aplicará igualmente al Impuesto de Industria y Comercio y Complementarios, para efectos de la aplicación de la retención en la fuente del impuesto sobre la renta y de la retención en la fuente sobre el Impuesto de Industria y Comercio y Complementarios, así como para otros impuestos, tasas y contribuciones de orden territorial.</w:t>
            </w:r>
          </w:p>
          <w:p w:rsidR="00A54FA1" w:rsidRPr="00A54FA1" w:rsidRDefault="00A54FA1" w:rsidP="00A54FA1">
            <w:pPr>
              <w:jc w:val="both"/>
              <w:rPr>
                <w:rFonts w:ascii="Cambria" w:hAnsi="Cambria"/>
                <w:sz w:val="16"/>
                <w:szCs w:val="16"/>
              </w:rPr>
            </w:pPr>
          </w:p>
          <w:p w:rsidR="00A54FA1" w:rsidRPr="00A54FA1" w:rsidRDefault="00A54FA1" w:rsidP="00A54FA1">
            <w:pPr>
              <w:jc w:val="both"/>
              <w:rPr>
                <w:rFonts w:ascii="Cambria" w:hAnsi="Cambria"/>
                <w:b/>
                <w:bCs/>
                <w:color w:val="000000" w:themeColor="text1"/>
                <w:sz w:val="16"/>
                <w:szCs w:val="16"/>
              </w:rPr>
            </w:pPr>
            <w:r w:rsidRPr="00A54FA1">
              <w:rPr>
                <w:rFonts w:ascii="Cambria" w:hAnsi="Cambria"/>
                <w:sz w:val="16"/>
                <w:szCs w:val="16"/>
                <w:highlight w:val="yellow"/>
              </w:rPr>
              <w:t>Derogado</w:t>
            </w:r>
          </w:p>
        </w:tc>
      </w:tr>
      <w:tr w:rsidR="00A00A7B" w:rsidTr="0059378C">
        <w:tc>
          <w:tcPr>
            <w:tcW w:w="4958" w:type="dxa"/>
          </w:tcPr>
          <w:p w:rsidR="00A00A7B" w:rsidRPr="00A00A7B" w:rsidRDefault="00A00A7B" w:rsidP="00A00A7B">
            <w:pPr>
              <w:jc w:val="both"/>
              <w:rPr>
                <w:rFonts w:ascii="Cambria" w:hAnsi="Cambria"/>
                <w:b/>
                <w:bCs/>
                <w:color w:val="000000" w:themeColor="text1"/>
                <w:sz w:val="20"/>
                <w:szCs w:val="20"/>
              </w:rPr>
            </w:pPr>
            <w:bookmarkStart w:id="22" w:name="462-2"/>
            <w:r w:rsidRPr="00A00A7B">
              <w:rPr>
                <w:rFonts w:ascii="Cambria" w:hAnsi="Cambria"/>
                <w:b/>
                <w:bCs/>
                <w:sz w:val="20"/>
                <w:szCs w:val="20"/>
                <w:shd w:val="clear" w:color="auto" w:fill="FFFFFF"/>
              </w:rPr>
              <w:t xml:space="preserve">Artículo 462-2. Responsabilidad en los servicios de parqueadero </w:t>
            </w:r>
            <w:r w:rsidRPr="00A00A7B">
              <w:rPr>
                <w:rFonts w:ascii="Cambria" w:hAnsi="Cambria"/>
                <w:b/>
                <w:bCs/>
                <w:sz w:val="20"/>
                <w:szCs w:val="20"/>
                <w:highlight w:val="yellow"/>
                <w:shd w:val="clear" w:color="auto" w:fill="FFFFFF"/>
              </w:rPr>
              <w:t>prestado por</w:t>
            </w:r>
            <w:r w:rsidRPr="00A00A7B">
              <w:rPr>
                <w:rFonts w:ascii="Cambria" w:hAnsi="Cambria"/>
                <w:b/>
                <w:bCs/>
                <w:sz w:val="20"/>
                <w:szCs w:val="20"/>
                <w:shd w:val="clear" w:color="auto" w:fill="FFFFFF"/>
              </w:rPr>
              <w:t xml:space="preserve"> las propiedades horizontales</w:t>
            </w:r>
            <w:r w:rsidRPr="00A00A7B">
              <w:rPr>
                <w:rFonts w:ascii="Cambria" w:hAnsi="Cambria"/>
                <w:sz w:val="20"/>
                <w:szCs w:val="20"/>
                <w:u w:val="single"/>
                <w:shd w:val="clear" w:color="auto" w:fill="FFFFFF"/>
              </w:rPr>
              <w:t>.</w:t>
            </w:r>
            <w:bookmarkEnd w:id="22"/>
            <w:r w:rsidRPr="00A00A7B">
              <w:rPr>
                <w:rFonts w:ascii="Cambria" w:hAnsi="Cambria"/>
                <w:color w:val="343536"/>
                <w:sz w:val="20"/>
                <w:szCs w:val="20"/>
                <w:shd w:val="clear" w:color="auto" w:fill="FFFFFF"/>
              </w:rPr>
              <w:t>  El nuevo texto es el siguiente:&gt; En el caso del impuesto sobre las ventas causado por la prestación directa del servicio de parqueadero o estacionamiento en zonas comunes por parte de las personas jurídicas constituidas como propiedad horizontal o sus administradores, son responsables del impuesto la persona jurídica constituida como propiedad horizontal o la persona que preste directamente el servicio.</w:t>
            </w:r>
          </w:p>
        </w:tc>
        <w:tc>
          <w:tcPr>
            <w:tcW w:w="4865" w:type="dxa"/>
          </w:tcPr>
          <w:p w:rsidR="00A00A7B" w:rsidRDefault="00A00A7B" w:rsidP="00A00A7B">
            <w:pPr>
              <w:jc w:val="both"/>
              <w:rPr>
                <w:rFonts w:ascii="Cambria" w:hAnsi="Cambria"/>
                <w:color w:val="343536"/>
                <w:sz w:val="20"/>
                <w:szCs w:val="20"/>
                <w:shd w:val="clear" w:color="auto" w:fill="FFFFFF"/>
              </w:rPr>
            </w:pPr>
            <w:r w:rsidRPr="00A00A7B">
              <w:rPr>
                <w:rFonts w:ascii="Cambria" w:hAnsi="Cambria"/>
                <w:b/>
                <w:bCs/>
                <w:sz w:val="20"/>
                <w:szCs w:val="20"/>
                <w:shd w:val="clear" w:color="auto" w:fill="FFFFFF"/>
              </w:rPr>
              <w:t xml:space="preserve">Artículo 462-2. Responsabilidad en los servicios de parqueadero </w:t>
            </w:r>
            <w:r w:rsidRPr="00A00A7B">
              <w:rPr>
                <w:rFonts w:ascii="Cambria" w:hAnsi="Cambria"/>
                <w:b/>
                <w:bCs/>
                <w:sz w:val="20"/>
                <w:szCs w:val="20"/>
                <w:highlight w:val="yellow"/>
                <w:shd w:val="clear" w:color="auto" w:fill="FFFFFF"/>
              </w:rPr>
              <w:t>y explotación de áreas en zonas comunes de</w:t>
            </w:r>
            <w:r w:rsidRPr="00A00A7B">
              <w:rPr>
                <w:rFonts w:ascii="Cambria" w:hAnsi="Cambria"/>
                <w:b/>
                <w:bCs/>
                <w:sz w:val="20"/>
                <w:szCs w:val="20"/>
                <w:shd w:val="clear" w:color="auto" w:fill="FFFFFF"/>
              </w:rPr>
              <w:t xml:space="preserve"> las propiedades horizontales </w:t>
            </w:r>
            <w:r>
              <w:rPr>
                <w:rFonts w:ascii="Cambria" w:hAnsi="Cambria"/>
                <w:b/>
                <w:bCs/>
                <w:sz w:val="20"/>
                <w:szCs w:val="20"/>
                <w:shd w:val="clear" w:color="auto" w:fill="FFFFFF"/>
              </w:rPr>
              <w:t>(</w:t>
            </w:r>
            <w:r w:rsidRPr="00A00A7B">
              <w:rPr>
                <w:rFonts w:ascii="Cambria" w:hAnsi="Cambria"/>
                <w:b/>
                <w:bCs/>
                <w:color w:val="FF0000"/>
                <w:sz w:val="20"/>
                <w:szCs w:val="20"/>
                <w:shd w:val="clear" w:color="auto" w:fill="FFFFFF"/>
              </w:rPr>
              <w:t xml:space="preserve">modificado con artículo 4 proyecto de </w:t>
            </w:r>
            <w:r w:rsidR="00FB60A2">
              <w:rPr>
                <w:rFonts w:ascii="Cambria" w:hAnsi="Cambria"/>
                <w:b/>
                <w:bCs/>
                <w:color w:val="FF0000"/>
                <w:sz w:val="20"/>
                <w:szCs w:val="20"/>
                <w:shd w:val="clear" w:color="auto" w:fill="FFFFFF"/>
              </w:rPr>
              <w:t>Ley de septiembre de 2025</w:t>
            </w:r>
            <w:r>
              <w:rPr>
                <w:rFonts w:ascii="Cambria" w:hAnsi="Cambria"/>
                <w:b/>
                <w:bCs/>
                <w:sz w:val="20"/>
                <w:szCs w:val="20"/>
                <w:shd w:val="clear" w:color="auto" w:fill="FFFFFF"/>
              </w:rPr>
              <w:t>)</w:t>
            </w:r>
            <w:r w:rsidRPr="00A00A7B">
              <w:rPr>
                <w:rFonts w:ascii="Cambria" w:hAnsi="Cambria"/>
                <w:sz w:val="20"/>
                <w:szCs w:val="20"/>
                <w:u w:val="single"/>
                <w:shd w:val="clear" w:color="auto" w:fill="FFFFFF"/>
              </w:rPr>
              <w:t>.</w:t>
            </w:r>
            <w:r w:rsidRPr="00A00A7B">
              <w:rPr>
                <w:rFonts w:ascii="Cambria" w:hAnsi="Cambria"/>
                <w:color w:val="343536"/>
                <w:sz w:val="20"/>
                <w:szCs w:val="20"/>
                <w:shd w:val="clear" w:color="auto" w:fill="FFFFFF"/>
              </w:rPr>
              <w:t>  En el caso del impuesto sobre las ventas causado por la prestación directa del servicio de parqueadero o estacionamiento</w:t>
            </w:r>
            <w:r>
              <w:rPr>
                <w:rFonts w:ascii="Cambria" w:hAnsi="Cambria"/>
                <w:color w:val="343536"/>
                <w:sz w:val="20"/>
                <w:szCs w:val="20"/>
                <w:shd w:val="clear" w:color="auto" w:fill="FFFFFF"/>
              </w:rPr>
              <w:t xml:space="preserve">, </w:t>
            </w:r>
            <w:r w:rsidRPr="00A00A7B">
              <w:rPr>
                <w:rFonts w:ascii="Cambria" w:hAnsi="Cambria"/>
                <w:color w:val="343536"/>
                <w:sz w:val="20"/>
                <w:szCs w:val="20"/>
                <w:highlight w:val="yellow"/>
                <w:shd w:val="clear" w:color="auto" w:fill="FFFFFF"/>
              </w:rPr>
              <w:t>y explotación de áreas</w:t>
            </w:r>
            <w:r>
              <w:rPr>
                <w:rFonts w:ascii="Cambria" w:hAnsi="Cambria"/>
                <w:color w:val="343536"/>
                <w:sz w:val="20"/>
                <w:szCs w:val="20"/>
                <w:shd w:val="clear" w:color="auto" w:fill="FFFFFF"/>
              </w:rPr>
              <w:t xml:space="preserve"> en zonas comunes por parte de las </w:t>
            </w:r>
            <w:r w:rsidRPr="00A00A7B">
              <w:rPr>
                <w:rFonts w:ascii="Cambria" w:hAnsi="Cambria"/>
                <w:color w:val="343536"/>
                <w:sz w:val="20"/>
                <w:szCs w:val="20"/>
                <w:shd w:val="clear" w:color="auto" w:fill="FFFFFF"/>
              </w:rPr>
              <w:t>de las personas jurídicas constituidas como propiedad horizontal o sus administradores, son responsables del impuesto la persona jurídica constituida como propiedad horizontal o la persona que preste directamente el servicio.</w:t>
            </w:r>
          </w:p>
          <w:p w:rsidR="00A00A7B" w:rsidRDefault="00A00A7B" w:rsidP="00A00A7B">
            <w:pPr>
              <w:jc w:val="both"/>
              <w:rPr>
                <w:rFonts w:ascii="Cambria" w:hAnsi="Cambria"/>
                <w:color w:val="343536"/>
                <w:sz w:val="20"/>
                <w:szCs w:val="20"/>
                <w:shd w:val="clear" w:color="auto" w:fill="FFFFFF"/>
              </w:rPr>
            </w:pPr>
          </w:p>
          <w:p w:rsidR="00A00A7B" w:rsidRPr="00A00A7B" w:rsidRDefault="00A00A7B" w:rsidP="00A00A7B">
            <w:pPr>
              <w:jc w:val="both"/>
              <w:rPr>
                <w:rFonts w:ascii="Cambria" w:hAnsi="Cambria"/>
                <w:color w:val="343536"/>
                <w:sz w:val="20"/>
                <w:szCs w:val="20"/>
                <w:shd w:val="clear" w:color="auto" w:fill="FFFFFF"/>
              </w:rPr>
            </w:pPr>
            <w:r w:rsidRPr="00A00A7B">
              <w:rPr>
                <w:rFonts w:ascii="Cambria" w:hAnsi="Cambria"/>
                <w:sz w:val="20"/>
                <w:szCs w:val="20"/>
                <w:highlight w:val="yellow"/>
              </w:rPr>
              <w:t>Se excluirán de lo dispuesto en este artículo, las propiedades horizontales de uso residencial; en consecuencia, no son responsables del IVA.</w:t>
            </w:r>
          </w:p>
          <w:p w:rsidR="00A00A7B" w:rsidRPr="00A00A7B" w:rsidRDefault="00A00A7B" w:rsidP="00A00A7B">
            <w:pPr>
              <w:jc w:val="both"/>
              <w:rPr>
                <w:rFonts w:ascii="Cambria" w:hAnsi="Cambria"/>
                <w:b/>
                <w:bCs/>
                <w:color w:val="000000" w:themeColor="text1"/>
                <w:sz w:val="20"/>
                <w:szCs w:val="20"/>
              </w:rPr>
            </w:pPr>
          </w:p>
        </w:tc>
      </w:tr>
      <w:tr w:rsidR="00900D5B" w:rsidTr="0059378C">
        <w:tc>
          <w:tcPr>
            <w:tcW w:w="4958" w:type="dxa"/>
          </w:tcPr>
          <w:p w:rsidR="00900D5B" w:rsidRDefault="00900D5B" w:rsidP="00900D5B">
            <w:pPr>
              <w:jc w:val="both"/>
              <w:rPr>
                <w:rFonts w:ascii="Cambria" w:hAnsi="Cambria"/>
                <w:sz w:val="20"/>
                <w:szCs w:val="20"/>
                <w:shd w:val="clear" w:color="auto" w:fill="FFFFFF"/>
              </w:rPr>
            </w:pPr>
            <w:bookmarkStart w:id="23" w:name="465"/>
            <w:r w:rsidRPr="00900D5B">
              <w:rPr>
                <w:rFonts w:ascii="Cambria" w:hAnsi="Cambria"/>
                <w:b/>
                <w:bCs/>
                <w:color w:val="000000" w:themeColor="text1"/>
                <w:sz w:val="20"/>
                <w:szCs w:val="20"/>
                <w:shd w:val="clear" w:color="auto" w:fill="FFFFFF"/>
              </w:rPr>
              <w:lastRenderedPageBreak/>
              <w:t>Articulo 465. Competencia para fijar precios</w:t>
            </w:r>
            <w:r w:rsidRPr="00900D5B">
              <w:rPr>
                <w:rFonts w:ascii="Cambria" w:hAnsi="Cambria"/>
                <w:color w:val="00A9E0"/>
                <w:sz w:val="20"/>
                <w:szCs w:val="20"/>
                <w:u w:val="single"/>
                <w:shd w:val="clear" w:color="auto" w:fill="FFFFFF"/>
              </w:rPr>
              <w:t>.</w:t>
            </w:r>
            <w:bookmarkEnd w:id="23"/>
            <w:r w:rsidRPr="00900D5B">
              <w:rPr>
                <w:rFonts w:ascii="Cambria" w:hAnsi="Cambria"/>
                <w:sz w:val="20"/>
                <w:szCs w:val="20"/>
                <w:shd w:val="clear" w:color="auto" w:fill="FFFFFF"/>
              </w:rPr>
              <w:t xml:space="preserve">  El Ministerio de Minas y Energía señalará los precios de los productos refinados derivados del petróleo y del gas natural para los efectos de liquidar el impuesto sobre las ventas, </w:t>
            </w:r>
            <w:r w:rsidRPr="00900D5B">
              <w:rPr>
                <w:rFonts w:ascii="Cambria" w:hAnsi="Cambria"/>
                <w:sz w:val="20"/>
                <w:szCs w:val="20"/>
                <w:highlight w:val="yellow"/>
                <w:shd w:val="clear" w:color="auto" w:fill="FFFFFF"/>
              </w:rPr>
              <w:t>exceptuados la gasolina y el ACPM, que se encuentran excluidos de este impuesto.</w:t>
            </w:r>
          </w:p>
          <w:p w:rsidR="00900D5B" w:rsidRPr="00900D5B" w:rsidRDefault="00900D5B" w:rsidP="00900D5B">
            <w:pPr>
              <w:jc w:val="both"/>
              <w:rPr>
                <w:rFonts w:ascii="Cambria" w:hAnsi="Cambria"/>
                <w:b/>
                <w:bCs/>
                <w:color w:val="000000" w:themeColor="text1"/>
                <w:sz w:val="20"/>
                <w:szCs w:val="20"/>
              </w:rPr>
            </w:pPr>
          </w:p>
        </w:tc>
        <w:tc>
          <w:tcPr>
            <w:tcW w:w="4865" w:type="dxa"/>
          </w:tcPr>
          <w:p w:rsidR="00900D5B" w:rsidRDefault="00900D5B" w:rsidP="00900D5B">
            <w:pPr>
              <w:jc w:val="both"/>
              <w:rPr>
                <w:rFonts w:ascii="Cambria" w:hAnsi="Cambria"/>
                <w:sz w:val="20"/>
                <w:szCs w:val="20"/>
                <w:shd w:val="clear" w:color="auto" w:fill="FFFFFF"/>
              </w:rPr>
            </w:pPr>
            <w:r w:rsidRPr="00900D5B">
              <w:rPr>
                <w:rFonts w:ascii="Cambria" w:hAnsi="Cambria"/>
                <w:b/>
                <w:bCs/>
                <w:color w:val="000000" w:themeColor="text1"/>
                <w:sz w:val="20"/>
                <w:szCs w:val="20"/>
                <w:shd w:val="clear" w:color="auto" w:fill="FFFFFF"/>
              </w:rPr>
              <w:t>Articulo 465. Competencia para fijar precios</w:t>
            </w:r>
            <w:r>
              <w:rPr>
                <w:rFonts w:ascii="Cambria" w:hAnsi="Cambria"/>
                <w:b/>
                <w:bCs/>
                <w:color w:val="000000" w:themeColor="text1"/>
                <w:sz w:val="20"/>
                <w:szCs w:val="20"/>
                <w:shd w:val="clear" w:color="auto" w:fill="FFFFFF"/>
              </w:rPr>
              <w:t xml:space="preserve"> (</w:t>
            </w:r>
            <w:r w:rsidRPr="00900D5B">
              <w:rPr>
                <w:rFonts w:ascii="Cambria" w:hAnsi="Cambria"/>
                <w:b/>
                <w:bCs/>
                <w:color w:val="FF0000"/>
                <w:sz w:val="20"/>
                <w:szCs w:val="20"/>
                <w:shd w:val="clear" w:color="auto" w:fill="FFFFFF"/>
              </w:rPr>
              <w:t xml:space="preserve">modificado con artículo 7 del proyecto de </w:t>
            </w:r>
            <w:r w:rsidR="00FB60A2">
              <w:rPr>
                <w:rFonts w:ascii="Cambria" w:hAnsi="Cambria"/>
                <w:b/>
                <w:bCs/>
                <w:color w:val="FF0000"/>
                <w:sz w:val="20"/>
                <w:szCs w:val="20"/>
                <w:shd w:val="clear" w:color="auto" w:fill="FFFFFF"/>
              </w:rPr>
              <w:t>Ley de septiembre de 2025</w:t>
            </w:r>
            <w:r w:rsidRPr="00900D5B">
              <w:rPr>
                <w:rFonts w:ascii="Cambria" w:hAnsi="Cambria"/>
                <w:b/>
                <w:bCs/>
                <w:color w:val="FF0000"/>
                <w:sz w:val="20"/>
                <w:szCs w:val="20"/>
                <w:shd w:val="clear" w:color="auto" w:fill="FFFFFF"/>
              </w:rPr>
              <w:t>)</w:t>
            </w:r>
            <w:r w:rsidRPr="00900D5B">
              <w:rPr>
                <w:rFonts w:ascii="Cambria" w:hAnsi="Cambria"/>
                <w:color w:val="FF0000"/>
                <w:sz w:val="20"/>
                <w:szCs w:val="20"/>
                <w:u w:val="single"/>
                <w:shd w:val="clear" w:color="auto" w:fill="FFFFFF"/>
              </w:rPr>
              <w:t>.</w:t>
            </w:r>
            <w:r w:rsidRPr="00900D5B">
              <w:rPr>
                <w:rFonts w:ascii="Cambria" w:hAnsi="Cambria"/>
                <w:color w:val="FF0000"/>
                <w:sz w:val="20"/>
                <w:szCs w:val="20"/>
                <w:shd w:val="clear" w:color="auto" w:fill="FFFFFF"/>
              </w:rPr>
              <w:t xml:space="preserve">  </w:t>
            </w:r>
            <w:r w:rsidRPr="00900D5B">
              <w:rPr>
                <w:rFonts w:ascii="Cambria" w:hAnsi="Cambria"/>
                <w:sz w:val="20"/>
                <w:szCs w:val="20"/>
                <w:shd w:val="clear" w:color="auto" w:fill="FFFFFF"/>
              </w:rPr>
              <w:t>El Ministerio de Minas y Energía señalará los precios de los productos refinados derivados del petróleo y del gas natural para los efectos de liquidar el impuesto sobre las ventas</w:t>
            </w:r>
            <w:r>
              <w:rPr>
                <w:rFonts w:ascii="Cambria" w:hAnsi="Cambria"/>
                <w:sz w:val="20"/>
                <w:szCs w:val="20"/>
                <w:shd w:val="clear" w:color="auto" w:fill="FFFFFF"/>
              </w:rPr>
              <w:t xml:space="preserve"> </w:t>
            </w:r>
            <w:r w:rsidRPr="00900D5B">
              <w:rPr>
                <w:rFonts w:ascii="Cambria" w:hAnsi="Cambria"/>
                <w:sz w:val="20"/>
                <w:szCs w:val="20"/>
                <w:highlight w:val="yellow"/>
                <w:shd w:val="clear" w:color="auto" w:fill="FFFFFF"/>
              </w:rPr>
              <w:t>en la venta de los productos regulados</w:t>
            </w:r>
          </w:p>
          <w:p w:rsidR="00900D5B" w:rsidRPr="00900D5B" w:rsidRDefault="00900D5B" w:rsidP="00900D5B">
            <w:pPr>
              <w:jc w:val="both"/>
              <w:rPr>
                <w:rFonts w:ascii="Cambria" w:hAnsi="Cambria"/>
                <w:b/>
                <w:bCs/>
                <w:color w:val="000000" w:themeColor="text1"/>
                <w:sz w:val="20"/>
                <w:szCs w:val="20"/>
              </w:rPr>
            </w:pPr>
          </w:p>
        </w:tc>
      </w:tr>
      <w:tr w:rsidR="00900D5B" w:rsidTr="0059378C">
        <w:tc>
          <w:tcPr>
            <w:tcW w:w="4958" w:type="dxa"/>
          </w:tcPr>
          <w:p w:rsidR="00900D5B" w:rsidRPr="00900D5B" w:rsidRDefault="00900D5B" w:rsidP="00900D5B">
            <w:pPr>
              <w:jc w:val="both"/>
              <w:rPr>
                <w:rFonts w:ascii="Cambria" w:hAnsi="Cambria"/>
                <w:sz w:val="20"/>
                <w:szCs w:val="20"/>
              </w:rPr>
            </w:pPr>
            <w:bookmarkStart w:id="24" w:name="467"/>
            <w:r w:rsidRPr="00900D5B">
              <w:rPr>
                <w:rFonts w:ascii="Cambria" w:hAnsi="Cambria"/>
                <w:b/>
                <w:bCs/>
                <w:color w:val="000000" w:themeColor="text1"/>
                <w:sz w:val="20"/>
                <w:szCs w:val="20"/>
              </w:rPr>
              <w:t>Articulo 467. Base gravable en otros productos derivados del petróleo</w:t>
            </w:r>
            <w:r w:rsidRPr="00900D5B">
              <w:rPr>
                <w:rFonts w:ascii="Cambria" w:hAnsi="Cambria"/>
                <w:color w:val="00A9E0"/>
                <w:sz w:val="20"/>
                <w:szCs w:val="20"/>
                <w:u w:val="single"/>
              </w:rPr>
              <w:t>.</w:t>
            </w:r>
            <w:bookmarkEnd w:id="24"/>
            <w:r w:rsidRPr="00900D5B">
              <w:rPr>
                <w:rFonts w:ascii="Cambria" w:hAnsi="Cambria"/>
                <w:sz w:val="20"/>
                <w:szCs w:val="20"/>
              </w:rPr>
              <w:t>  La base gravable en la venta de los siguientes productos derivados del petróleo se determinará así:</w:t>
            </w: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1. En combustibles, se entiende que la base gravable para el impuesto a las ventas será:</w:t>
            </w:r>
          </w:p>
          <w:p w:rsidR="00900D5B" w:rsidRPr="00900D5B" w:rsidRDefault="00900D5B" w:rsidP="00900D5B">
            <w:pPr>
              <w:jc w:val="both"/>
              <w:rPr>
                <w:rFonts w:ascii="Cambria" w:hAnsi="Cambria"/>
                <w:sz w:val="20"/>
                <w:szCs w:val="20"/>
              </w:rPr>
            </w:pPr>
            <w:r w:rsidRPr="00900D5B">
              <w:rPr>
                <w:rFonts w:ascii="Cambria" w:hAnsi="Cambria"/>
                <w:sz w:val="20"/>
                <w:szCs w:val="20"/>
              </w:rPr>
              <w:t>a) Para el productor o importador: el Ingreso al productor IP;</w:t>
            </w:r>
          </w:p>
          <w:p w:rsidR="00900D5B" w:rsidRPr="00900D5B" w:rsidRDefault="00900D5B" w:rsidP="00900D5B">
            <w:pPr>
              <w:jc w:val="both"/>
              <w:rPr>
                <w:rFonts w:ascii="Cambria" w:hAnsi="Cambria"/>
                <w:sz w:val="20"/>
                <w:szCs w:val="20"/>
              </w:rPr>
            </w:pPr>
            <w:r w:rsidRPr="00900D5B">
              <w:rPr>
                <w:rFonts w:ascii="Cambria" w:hAnsi="Cambria"/>
                <w:sz w:val="20"/>
                <w:szCs w:val="20"/>
              </w:rPr>
              <w:t>b) Para el distribuidor mayorista y/o Comercializador Industrial: el Ingreso al productor o comercializador del combustible y del alcohol carburante y/o biocombustible en la proporción autorizada por el Ministerio de Minas y Energía para convertirlo en combustible oxigenado, adicionado el margen mayorista. El transporte al combustible no formará parte de la base gravable.</w:t>
            </w: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2. En gasolina de aviación de 100/130 octanos,</w:t>
            </w: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a) Para el productor: el precio oficial de lista en refinería;</w:t>
            </w:r>
          </w:p>
          <w:p w:rsidR="00900D5B" w:rsidRPr="00900D5B" w:rsidRDefault="00900D5B" w:rsidP="00900D5B">
            <w:pPr>
              <w:jc w:val="both"/>
              <w:rPr>
                <w:rFonts w:ascii="Cambria" w:hAnsi="Cambria"/>
                <w:sz w:val="20"/>
                <w:szCs w:val="20"/>
              </w:rPr>
            </w:pPr>
            <w:r w:rsidRPr="00900D5B">
              <w:rPr>
                <w:rFonts w:ascii="Cambria" w:hAnsi="Cambria"/>
                <w:sz w:val="20"/>
                <w:szCs w:val="20"/>
              </w:rPr>
              <w:t>b) Para el distribuidor mayorista: el precio oficial de lista en refinería adicionando el margen de comercialización.</w:t>
            </w: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lastRenderedPageBreak/>
              <w:t>3. Para todos los demás derivados del petróleo diferentes a combustibles corresponderá al precio de venta.</w:t>
            </w:r>
          </w:p>
          <w:p w:rsidR="00900D5B" w:rsidRDefault="00900D5B" w:rsidP="00900D5B">
            <w:pPr>
              <w:jc w:val="both"/>
              <w:rPr>
                <w:rFonts w:ascii="Cambria" w:hAnsi="Cambria"/>
                <w:sz w:val="20"/>
                <w:szCs w:val="20"/>
              </w:rPr>
            </w:pPr>
          </w:p>
          <w:p w:rsidR="00900D5B" w:rsidRDefault="00900D5B" w:rsidP="00900D5B">
            <w:pPr>
              <w:jc w:val="both"/>
              <w:rPr>
                <w:rFonts w:ascii="Cambria" w:hAnsi="Cambria"/>
                <w:color w:val="454545"/>
                <w:sz w:val="20"/>
                <w:szCs w:val="20"/>
              </w:rPr>
            </w:pPr>
            <w:r w:rsidRPr="00900D5B">
              <w:rPr>
                <w:rFonts w:ascii="Cambria" w:hAnsi="Cambria"/>
                <w:sz w:val="20"/>
                <w:szCs w:val="20"/>
              </w:rPr>
              <w:t>4. Cuando se trate de combustibles cuyo margen de comercialización e Ingreso al Productor IP no es regulado por el Ministerio de Minas y Energía, la base gravable será el precio de venta sin incluir transporte por poliducto.</w:t>
            </w:r>
          </w:p>
          <w:p w:rsidR="00900D5B" w:rsidRPr="00900D5B" w:rsidRDefault="00900D5B" w:rsidP="00900D5B">
            <w:pPr>
              <w:jc w:val="both"/>
              <w:rPr>
                <w:rFonts w:ascii="Cambria" w:hAnsi="Cambria"/>
                <w:color w:val="454545"/>
                <w:sz w:val="20"/>
                <w:szCs w:val="20"/>
              </w:rPr>
            </w:pPr>
            <w:r w:rsidRPr="00900D5B">
              <w:rPr>
                <w:rFonts w:ascii="Cambria" w:hAnsi="Cambria"/>
                <w:color w:val="454545"/>
                <w:sz w:val="20"/>
                <w:szCs w:val="20"/>
              </w:rPr>
              <w:t xml:space="preserve"> </w:t>
            </w:r>
          </w:p>
          <w:p w:rsidR="00900D5B" w:rsidRPr="00900D5B" w:rsidRDefault="00900D5B" w:rsidP="00900D5B">
            <w:pPr>
              <w:jc w:val="both"/>
              <w:rPr>
                <w:rFonts w:ascii="Cambria" w:hAnsi="Cambria"/>
                <w:sz w:val="20"/>
                <w:szCs w:val="20"/>
              </w:rPr>
            </w:pPr>
            <w:r w:rsidRPr="00900D5B">
              <w:rPr>
                <w:rFonts w:ascii="Cambria" w:hAnsi="Cambria"/>
                <w:sz w:val="20"/>
                <w:szCs w:val="20"/>
              </w:rPr>
              <w:t>El impuesto generado dará derecho a impuestos descontables en los términos del artículo </w:t>
            </w:r>
            <w:r w:rsidRPr="00900D5B">
              <w:rPr>
                <w:rFonts w:ascii="Cambria" w:hAnsi="Cambria"/>
                <w:spacing w:val="2"/>
                <w:sz w:val="20"/>
                <w:szCs w:val="20"/>
              </w:rPr>
              <w:t>485</w:t>
            </w:r>
            <w:r w:rsidRPr="00900D5B">
              <w:rPr>
                <w:rFonts w:ascii="Cambria" w:hAnsi="Cambria"/>
                <w:sz w:val="20"/>
                <w:szCs w:val="20"/>
              </w:rPr>
              <w:t>, </w:t>
            </w:r>
            <w:r w:rsidRPr="00900D5B">
              <w:rPr>
                <w:rFonts w:ascii="Cambria" w:hAnsi="Cambria"/>
                <w:spacing w:val="2"/>
                <w:sz w:val="20"/>
                <w:szCs w:val="20"/>
              </w:rPr>
              <w:t>486</w:t>
            </w:r>
            <w:r w:rsidRPr="00900D5B">
              <w:rPr>
                <w:rFonts w:ascii="Cambria" w:hAnsi="Cambria"/>
                <w:sz w:val="20"/>
                <w:szCs w:val="20"/>
              </w:rPr>
              <w:t>, </w:t>
            </w:r>
            <w:r w:rsidRPr="00900D5B">
              <w:rPr>
                <w:rFonts w:ascii="Cambria" w:hAnsi="Cambria"/>
                <w:spacing w:val="2"/>
                <w:sz w:val="20"/>
                <w:szCs w:val="20"/>
              </w:rPr>
              <w:t>488</w:t>
            </w:r>
            <w:r w:rsidRPr="00900D5B">
              <w:rPr>
                <w:rFonts w:ascii="Cambria" w:hAnsi="Cambria"/>
                <w:sz w:val="20"/>
                <w:szCs w:val="20"/>
              </w:rPr>
              <w:t> y demás normas concordantes.</w:t>
            </w:r>
          </w:p>
          <w:p w:rsidR="00900D5B" w:rsidRPr="00900D5B" w:rsidRDefault="00900D5B" w:rsidP="00900D5B">
            <w:pPr>
              <w:jc w:val="both"/>
              <w:rPr>
                <w:rFonts w:ascii="Cambria" w:hAnsi="Cambria"/>
                <w:b/>
                <w:bCs/>
                <w:color w:val="000000" w:themeColor="text1"/>
                <w:sz w:val="20"/>
                <w:szCs w:val="20"/>
              </w:rPr>
            </w:pPr>
          </w:p>
        </w:tc>
        <w:tc>
          <w:tcPr>
            <w:tcW w:w="4865" w:type="dxa"/>
          </w:tcPr>
          <w:p w:rsidR="00900D5B" w:rsidRPr="00900D5B" w:rsidRDefault="00900D5B" w:rsidP="00900D5B">
            <w:pPr>
              <w:jc w:val="both"/>
              <w:rPr>
                <w:rFonts w:ascii="Cambria" w:hAnsi="Cambria"/>
                <w:sz w:val="20"/>
                <w:szCs w:val="20"/>
              </w:rPr>
            </w:pPr>
            <w:r w:rsidRPr="00900D5B">
              <w:rPr>
                <w:rFonts w:ascii="Cambria" w:hAnsi="Cambria"/>
                <w:b/>
                <w:bCs/>
                <w:color w:val="000000" w:themeColor="text1"/>
                <w:sz w:val="20"/>
                <w:szCs w:val="20"/>
              </w:rPr>
              <w:lastRenderedPageBreak/>
              <w:t>Articulo 467. Base gravable en otros productos derivados del petróleo</w:t>
            </w:r>
            <w:r>
              <w:rPr>
                <w:rFonts w:ascii="Cambria" w:hAnsi="Cambria"/>
                <w:b/>
                <w:bCs/>
                <w:color w:val="000000" w:themeColor="text1"/>
                <w:sz w:val="20"/>
                <w:szCs w:val="20"/>
              </w:rPr>
              <w:t xml:space="preserve"> </w:t>
            </w:r>
            <w:r w:rsidR="00C51CD4">
              <w:rPr>
                <w:rFonts w:ascii="Cambria" w:hAnsi="Cambria"/>
                <w:b/>
                <w:bCs/>
                <w:color w:val="000000" w:themeColor="text1"/>
                <w:sz w:val="20"/>
                <w:szCs w:val="20"/>
              </w:rPr>
              <w:t>(</w:t>
            </w:r>
            <w:r w:rsidRPr="00900D5B">
              <w:rPr>
                <w:rFonts w:ascii="Cambria" w:hAnsi="Cambria"/>
                <w:b/>
                <w:bCs/>
                <w:color w:val="FF0000"/>
                <w:sz w:val="20"/>
                <w:szCs w:val="20"/>
                <w:shd w:val="clear" w:color="auto" w:fill="FFFFFF"/>
              </w:rPr>
              <w:t xml:space="preserve">modificado con artículo </w:t>
            </w:r>
            <w:r>
              <w:rPr>
                <w:rFonts w:ascii="Cambria" w:hAnsi="Cambria"/>
                <w:b/>
                <w:bCs/>
                <w:color w:val="FF0000"/>
                <w:sz w:val="20"/>
                <w:szCs w:val="20"/>
                <w:shd w:val="clear" w:color="auto" w:fill="FFFFFF"/>
              </w:rPr>
              <w:t>5</w:t>
            </w:r>
            <w:r w:rsidRPr="00900D5B">
              <w:rPr>
                <w:rFonts w:ascii="Cambria" w:hAnsi="Cambria"/>
                <w:b/>
                <w:bCs/>
                <w:color w:val="FF0000"/>
                <w:sz w:val="20"/>
                <w:szCs w:val="20"/>
                <w:shd w:val="clear" w:color="auto" w:fill="FFFFFF"/>
              </w:rPr>
              <w:t xml:space="preserve"> del proyecto de </w:t>
            </w:r>
            <w:r w:rsidR="00FB60A2">
              <w:rPr>
                <w:rFonts w:ascii="Cambria" w:hAnsi="Cambria"/>
                <w:b/>
                <w:bCs/>
                <w:color w:val="FF0000"/>
                <w:sz w:val="20"/>
                <w:szCs w:val="20"/>
                <w:shd w:val="clear" w:color="auto" w:fill="FFFFFF"/>
              </w:rPr>
              <w:t>Ley de septiembre de 2025</w:t>
            </w:r>
            <w:r w:rsidRPr="00900D5B">
              <w:rPr>
                <w:rFonts w:ascii="Cambria" w:hAnsi="Cambria"/>
                <w:b/>
                <w:bCs/>
                <w:color w:val="FF0000"/>
                <w:sz w:val="20"/>
                <w:szCs w:val="20"/>
                <w:shd w:val="clear" w:color="auto" w:fill="FFFFFF"/>
              </w:rPr>
              <w:t>)</w:t>
            </w:r>
            <w:r w:rsidRPr="00900D5B">
              <w:rPr>
                <w:rFonts w:ascii="Cambria" w:hAnsi="Cambria"/>
                <w:color w:val="FF0000"/>
                <w:sz w:val="20"/>
                <w:szCs w:val="20"/>
                <w:u w:val="single"/>
                <w:shd w:val="clear" w:color="auto" w:fill="FFFFFF"/>
              </w:rPr>
              <w:t>.</w:t>
            </w:r>
            <w:r w:rsidRPr="00900D5B">
              <w:rPr>
                <w:rFonts w:ascii="Cambria" w:hAnsi="Cambria"/>
                <w:color w:val="FF0000"/>
                <w:sz w:val="20"/>
                <w:szCs w:val="20"/>
                <w:shd w:val="clear" w:color="auto" w:fill="FFFFFF"/>
              </w:rPr>
              <w:t> </w:t>
            </w:r>
            <w:r w:rsidRPr="00900D5B">
              <w:rPr>
                <w:rFonts w:ascii="Cambria" w:hAnsi="Cambria"/>
                <w:color w:val="00A9E0"/>
                <w:sz w:val="20"/>
                <w:szCs w:val="20"/>
                <w:u w:val="single"/>
              </w:rPr>
              <w:t>.</w:t>
            </w:r>
            <w:r w:rsidRPr="00900D5B">
              <w:rPr>
                <w:rFonts w:ascii="Cambria" w:hAnsi="Cambria"/>
                <w:sz w:val="20"/>
                <w:szCs w:val="20"/>
              </w:rPr>
              <w:t>  La base gravable en la venta de los siguientes productos derivados del petróleo se determinará así:</w:t>
            </w: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1. En combustibles, se entiende que la base gravable para el impuesto a las ventas será:</w:t>
            </w:r>
          </w:p>
          <w:p w:rsidR="00900D5B" w:rsidRPr="00900D5B" w:rsidRDefault="00900D5B" w:rsidP="00900D5B">
            <w:pPr>
              <w:jc w:val="both"/>
              <w:rPr>
                <w:rFonts w:ascii="Cambria" w:hAnsi="Cambria"/>
                <w:sz w:val="20"/>
                <w:szCs w:val="20"/>
              </w:rPr>
            </w:pPr>
            <w:r w:rsidRPr="00900D5B">
              <w:rPr>
                <w:rFonts w:ascii="Cambria" w:hAnsi="Cambria"/>
                <w:sz w:val="20"/>
                <w:szCs w:val="20"/>
              </w:rPr>
              <w:t>a) Para el productor o importador: el Ingreso al productor IP;</w:t>
            </w:r>
          </w:p>
          <w:p w:rsidR="00900D5B" w:rsidRPr="00900D5B" w:rsidRDefault="00900D5B" w:rsidP="00900D5B">
            <w:pPr>
              <w:jc w:val="both"/>
              <w:rPr>
                <w:rFonts w:ascii="Cambria" w:hAnsi="Cambria"/>
                <w:sz w:val="20"/>
                <w:szCs w:val="20"/>
              </w:rPr>
            </w:pPr>
            <w:r w:rsidRPr="00900D5B">
              <w:rPr>
                <w:rFonts w:ascii="Cambria" w:hAnsi="Cambria"/>
                <w:sz w:val="20"/>
                <w:szCs w:val="20"/>
              </w:rPr>
              <w:t>b) Para el distribuidor mayorista y/o Comercializador Industrial: el Ingreso al productor o comercializador del combustible y del alcohol carburante y/o biocombustible en la proporción autorizada por el Ministerio de Minas y Energía para convertirlo en combustible oxigenado, adicionado el margen mayorista. El transporte al combustible no formará parte de la base gravable.</w:t>
            </w: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highlight w:val="yellow"/>
              </w:rPr>
              <w:t>c) Para el distribuidor minorista. El ingreso al productor o comercializador del combustible y del alcohol carburante y/o biocombustible en la proporción autorizada por el Ministerio de Minas y Energía para convertirlo en combustible oxigenado, adicionado el margen mayorista y el margen minorista. El transporte al combustible no formará parte de la base gravable. Cuando se trate de ACPM, la venta por el distribuidor minorista estará excluida.</w:t>
            </w:r>
            <w:r w:rsidRPr="00900D5B">
              <w:rPr>
                <w:rFonts w:ascii="Cambria" w:hAnsi="Cambria"/>
                <w:sz w:val="20"/>
                <w:szCs w:val="20"/>
              </w:rPr>
              <w:t xml:space="preserve"> </w:t>
            </w: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2. En gasolina de aviación de 100/130 octanos,</w:t>
            </w:r>
            <w:r>
              <w:rPr>
                <w:rFonts w:ascii="Cambria" w:hAnsi="Cambria"/>
                <w:sz w:val="20"/>
                <w:szCs w:val="20"/>
              </w:rPr>
              <w:t xml:space="preserve"> </w:t>
            </w:r>
            <w:r w:rsidRPr="00900D5B">
              <w:rPr>
                <w:rFonts w:ascii="Cambria" w:hAnsi="Cambria"/>
                <w:sz w:val="20"/>
                <w:szCs w:val="20"/>
                <w:highlight w:val="yellow"/>
              </w:rPr>
              <w:t>se entiende que la base gravable para el impuesto a las ventas será</w:t>
            </w:r>
          </w:p>
          <w:p w:rsidR="00900D5B" w:rsidRPr="00900D5B" w:rsidRDefault="00900D5B" w:rsidP="00900D5B">
            <w:pPr>
              <w:jc w:val="both"/>
              <w:rPr>
                <w:rFonts w:ascii="Cambria" w:hAnsi="Cambria"/>
                <w:sz w:val="20"/>
                <w:szCs w:val="20"/>
              </w:rPr>
            </w:pPr>
            <w:r w:rsidRPr="00900D5B">
              <w:rPr>
                <w:rFonts w:ascii="Cambria" w:hAnsi="Cambria"/>
                <w:sz w:val="20"/>
                <w:szCs w:val="20"/>
              </w:rPr>
              <w:t>a) Para el productor: el precio oficial de lista en refinería;</w:t>
            </w:r>
          </w:p>
          <w:p w:rsidR="00900D5B" w:rsidRDefault="00900D5B" w:rsidP="00900D5B">
            <w:pPr>
              <w:jc w:val="both"/>
              <w:rPr>
                <w:rFonts w:ascii="Cambria" w:hAnsi="Cambria"/>
                <w:sz w:val="20"/>
                <w:szCs w:val="20"/>
              </w:rPr>
            </w:pPr>
            <w:r w:rsidRPr="00900D5B">
              <w:rPr>
                <w:rFonts w:ascii="Cambria" w:hAnsi="Cambria"/>
                <w:sz w:val="20"/>
                <w:szCs w:val="20"/>
              </w:rPr>
              <w:t>b) Para el distribuidor mayorista: el precio oficial de lista en refinería adicionando el margen de comercialización.</w:t>
            </w:r>
          </w:p>
          <w:p w:rsidR="00900D5B" w:rsidRPr="00900D5B" w:rsidRDefault="00900D5B" w:rsidP="00900D5B">
            <w:pPr>
              <w:jc w:val="both"/>
              <w:rPr>
                <w:rFonts w:ascii="Cambria" w:hAnsi="Cambria"/>
                <w:sz w:val="20"/>
                <w:szCs w:val="20"/>
              </w:rPr>
            </w:pPr>
            <w:r w:rsidRPr="00900D5B">
              <w:rPr>
                <w:rFonts w:ascii="Cambria" w:hAnsi="Cambria"/>
                <w:sz w:val="20"/>
                <w:szCs w:val="20"/>
                <w:highlight w:val="yellow"/>
              </w:rPr>
              <w:t xml:space="preserve">c) Para el distribuidor minorista, el precio oficial de lista en refinería adicionando el margen de comercialización o distribuidor mayorista y el margen </w:t>
            </w:r>
            <w:r>
              <w:rPr>
                <w:rFonts w:ascii="Cambria" w:hAnsi="Cambria"/>
                <w:sz w:val="20"/>
                <w:szCs w:val="20"/>
                <w:highlight w:val="yellow"/>
              </w:rPr>
              <w:t xml:space="preserve">del </w:t>
            </w:r>
            <w:r w:rsidRPr="00900D5B">
              <w:rPr>
                <w:rFonts w:ascii="Cambria" w:hAnsi="Cambria"/>
                <w:sz w:val="20"/>
                <w:szCs w:val="20"/>
                <w:highlight w:val="yellow"/>
              </w:rPr>
              <w:t>minorista</w:t>
            </w:r>
          </w:p>
          <w:p w:rsidR="00900D5B" w:rsidRDefault="00900D5B" w:rsidP="00900D5B">
            <w:pPr>
              <w:jc w:val="both"/>
              <w:rPr>
                <w:rFonts w:ascii="Cambria" w:hAnsi="Cambria"/>
                <w:sz w:val="20"/>
                <w:szCs w:val="20"/>
              </w:rPr>
            </w:pPr>
          </w:p>
          <w:p w:rsidR="00900D5B" w:rsidRPr="00900D5B" w:rsidRDefault="00900D5B" w:rsidP="00900D5B">
            <w:pPr>
              <w:jc w:val="both"/>
              <w:rPr>
                <w:rFonts w:ascii="Cambria" w:hAnsi="Cambria"/>
                <w:sz w:val="20"/>
                <w:szCs w:val="20"/>
              </w:rPr>
            </w:pPr>
            <w:r w:rsidRPr="00900D5B">
              <w:rPr>
                <w:rFonts w:ascii="Cambria" w:hAnsi="Cambria"/>
                <w:sz w:val="20"/>
                <w:szCs w:val="20"/>
              </w:rPr>
              <w:t>3. Para todos los demás derivados del petróleo diferentes a combustibles corresponderá al precio de venta.</w:t>
            </w:r>
          </w:p>
          <w:p w:rsidR="00900D5B" w:rsidRDefault="00900D5B" w:rsidP="00900D5B">
            <w:pPr>
              <w:jc w:val="both"/>
              <w:rPr>
                <w:rFonts w:ascii="Cambria" w:hAnsi="Cambria"/>
                <w:sz w:val="20"/>
                <w:szCs w:val="20"/>
              </w:rPr>
            </w:pPr>
          </w:p>
          <w:p w:rsidR="00900D5B" w:rsidRDefault="00900D5B" w:rsidP="00900D5B">
            <w:pPr>
              <w:jc w:val="both"/>
              <w:rPr>
                <w:rFonts w:ascii="Cambria" w:hAnsi="Cambria"/>
                <w:color w:val="454545"/>
                <w:sz w:val="20"/>
                <w:szCs w:val="20"/>
              </w:rPr>
            </w:pPr>
            <w:r w:rsidRPr="00900D5B">
              <w:rPr>
                <w:rFonts w:ascii="Cambria" w:hAnsi="Cambria"/>
                <w:sz w:val="20"/>
                <w:szCs w:val="20"/>
              </w:rPr>
              <w:lastRenderedPageBreak/>
              <w:t>4. Cuando se trate de combustibles cuyo margen de comercialización e Ingreso al Productor IP no es regulado por el Ministerio de Minas y Energía, la base gravable será el precio de venta sin incluir transporte por poliducto.</w:t>
            </w:r>
          </w:p>
          <w:p w:rsidR="00900D5B" w:rsidRPr="00900D5B" w:rsidRDefault="00900D5B" w:rsidP="00900D5B">
            <w:pPr>
              <w:jc w:val="both"/>
              <w:rPr>
                <w:rFonts w:ascii="Cambria" w:hAnsi="Cambria"/>
                <w:color w:val="454545"/>
                <w:sz w:val="20"/>
                <w:szCs w:val="20"/>
              </w:rPr>
            </w:pPr>
            <w:r w:rsidRPr="00900D5B">
              <w:rPr>
                <w:rFonts w:ascii="Cambria" w:hAnsi="Cambria"/>
                <w:color w:val="454545"/>
                <w:sz w:val="20"/>
                <w:szCs w:val="20"/>
              </w:rPr>
              <w:t xml:space="preserve"> </w:t>
            </w:r>
          </w:p>
          <w:p w:rsidR="00900D5B" w:rsidRPr="00900D5B" w:rsidRDefault="00900D5B" w:rsidP="00900D5B">
            <w:pPr>
              <w:jc w:val="both"/>
              <w:rPr>
                <w:rFonts w:ascii="Cambria" w:hAnsi="Cambria"/>
                <w:sz w:val="20"/>
                <w:szCs w:val="20"/>
              </w:rPr>
            </w:pPr>
            <w:r w:rsidRPr="00900D5B">
              <w:rPr>
                <w:rFonts w:ascii="Cambria" w:hAnsi="Cambria"/>
                <w:sz w:val="20"/>
                <w:szCs w:val="20"/>
              </w:rPr>
              <w:t>El impuesto generado dará derecho a impuestos descontables en los términos del artículo </w:t>
            </w:r>
            <w:r w:rsidRPr="00900D5B">
              <w:rPr>
                <w:rFonts w:ascii="Cambria" w:hAnsi="Cambria"/>
                <w:spacing w:val="2"/>
                <w:sz w:val="20"/>
                <w:szCs w:val="20"/>
              </w:rPr>
              <w:t>485</w:t>
            </w:r>
            <w:r w:rsidRPr="00900D5B">
              <w:rPr>
                <w:rFonts w:ascii="Cambria" w:hAnsi="Cambria"/>
                <w:sz w:val="20"/>
                <w:szCs w:val="20"/>
              </w:rPr>
              <w:t>, </w:t>
            </w:r>
            <w:r w:rsidRPr="00900D5B">
              <w:rPr>
                <w:rFonts w:ascii="Cambria" w:hAnsi="Cambria"/>
                <w:spacing w:val="2"/>
                <w:sz w:val="20"/>
                <w:szCs w:val="20"/>
              </w:rPr>
              <w:t>486</w:t>
            </w:r>
            <w:r w:rsidRPr="00900D5B">
              <w:rPr>
                <w:rFonts w:ascii="Cambria" w:hAnsi="Cambria"/>
                <w:sz w:val="20"/>
                <w:szCs w:val="20"/>
              </w:rPr>
              <w:t>, </w:t>
            </w:r>
            <w:r w:rsidRPr="00900D5B">
              <w:rPr>
                <w:rFonts w:ascii="Cambria" w:hAnsi="Cambria"/>
                <w:spacing w:val="2"/>
                <w:sz w:val="20"/>
                <w:szCs w:val="20"/>
              </w:rPr>
              <w:t>488</w:t>
            </w:r>
            <w:r w:rsidRPr="00900D5B">
              <w:rPr>
                <w:rFonts w:ascii="Cambria" w:hAnsi="Cambria"/>
                <w:sz w:val="20"/>
                <w:szCs w:val="20"/>
              </w:rPr>
              <w:t> y demás normas concordantes.</w:t>
            </w:r>
          </w:p>
          <w:p w:rsidR="00900D5B" w:rsidRPr="00900D5B" w:rsidRDefault="00900D5B" w:rsidP="00900D5B">
            <w:pPr>
              <w:jc w:val="both"/>
              <w:rPr>
                <w:rFonts w:ascii="Cambria" w:hAnsi="Cambria"/>
                <w:b/>
                <w:bCs/>
                <w:color w:val="000000" w:themeColor="text1"/>
                <w:sz w:val="20"/>
                <w:szCs w:val="20"/>
              </w:rPr>
            </w:pPr>
          </w:p>
        </w:tc>
      </w:tr>
      <w:tr w:rsidR="00C51CD4" w:rsidTr="0059378C">
        <w:tc>
          <w:tcPr>
            <w:tcW w:w="4958" w:type="dxa"/>
          </w:tcPr>
          <w:p w:rsidR="00C51CD4" w:rsidRDefault="00C51CD4" w:rsidP="00C51CD4">
            <w:pPr>
              <w:jc w:val="both"/>
              <w:rPr>
                <w:rFonts w:ascii="Cambria" w:hAnsi="Cambria"/>
                <w:color w:val="454545"/>
                <w:sz w:val="20"/>
                <w:szCs w:val="20"/>
              </w:rPr>
            </w:pPr>
            <w:bookmarkStart w:id="25" w:name="468"/>
            <w:r w:rsidRPr="00C51CD4">
              <w:rPr>
                <w:rFonts w:ascii="Cambria" w:hAnsi="Cambria"/>
                <w:b/>
                <w:bCs/>
                <w:color w:val="000000" w:themeColor="text1"/>
                <w:sz w:val="20"/>
                <w:szCs w:val="20"/>
              </w:rPr>
              <w:lastRenderedPageBreak/>
              <w:t>Articulo 468. Tarifa general del impuesto sobre las ventas</w:t>
            </w:r>
            <w:r w:rsidRPr="00C51CD4">
              <w:rPr>
                <w:rFonts w:ascii="Cambria" w:hAnsi="Cambria"/>
                <w:color w:val="00A9E0"/>
                <w:sz w:val="20"/>
                <w:szCs w:val="20"/>
                <w:u w:val="single"/>
              </w:rPr>
              <w:t>.</w:t>
            </w:r>
            <w:bookmarkEnd w:id="25"/>
            <w:r w:rsidRPr="00C51CD4">
              <w:rPr>
                <w:rFonts w:ascii="Cambria" w:hAnsi="Cambria"/>
                <w:sz w:val="20"/>
                <w:szCs w:val="20"/>
              </w:rPr>
              <w:t>  La tarifa general del impuesto sobre las ventas es del diecinueve por ciento (19%) salvo las excepciones contempladas en este título.</w:t>
            </w:r>
          </w:p>
          <w:p w:rsidR="00C51CD4" w:rsidRDefault="00C51CD4" w:rsidP="00C51CD4">
            <w:pPr>
              <w:jc w:val="both"/>
              <w:rPr>
                <w:rFonts w:ascii="Cambria" w:hAnsi="Cambria"/>
                <w:color w:val="454545"/>
                <w:sz w:val="20"/>
                <w:szCs w:val="20"/>
              </w:rPr>
            </w:pPr>
            <w:r w:rsidRPr="00C51CD4">
              <w:rPr>
                <w:rFonts w:ascii="Cambria" w:hAnsi="Cambria"/>
                <w:color w:val="454545"/>
                <w:sz w:val="20"/>
                <w:szCs w:val="20"/>
              </w:rPr>
              <w:t xml:space="preserve"> </w:t>
            </w:r>
          </w:p>
          <w:p w:rsidR="00C51CD4" w:rsidRPr="00C51CD4" w:rsidRDefault="00C51CD4" w:rsidP="00C51CD4">
            <w:pPr>
              <w:jc w:val="both"/>
              <w:rPr>
                <w:rFonts w:ascii="Cambria" w:hAnsi="Cambria"/>
                <w:color w:val="454545"/>
                <w:sz w:val="20"/>
                <w:szCs w:val="20"/>
              </w:rPr>
            </w:pPr>
          </w:p>
          <w:p w:rsidR="00C51CD4" w:rsidRDefault="00C51CD4" w:rsidP="00C51CD4">
            <w:pPr>
              <w:jc w:val="both"/>
              <w:rPr>
                <w:rFonts w:ascii="Cambria" w:hAnsi="Cambria"/>
                <w:sz w:val="20"/>
                <w:szCs w:val="20"/>
              </w:rPr>
            </w:pPr>
            <w:r w:rsidRPr="00C51CD4">
              <w:rPr>
                <w:rFonts w:ascii="Cambria" w:hAnsi="Cambria"/>
                <w:sz w:val="20"/>
                <w:szCs w:val="20"/>
              </w:rPr>
              <w:t>A partir del año gravable 2017, del recaudo del impuesto sobre las ventas un (1) punto se destinará así:</w:t>
            </w:r>
          </w:p>
          <w:p w:rsidR="00C51CD4" w:rsidRPr="00C51CD4" w:rsidRDefault="00C51CD4" w:rsidP="00C51CD4">
            <w:pPr>
              <w:jc w:val="both"/>
              <w:rPr>
                <w:rFonts w:ascii="Cambria" w:hAnsi="Cambria"/>
                <w:sz w:val="20"/>
                <w:szCs w:val="20"/>
              </w:rPr>
            </w:pPr>
          </w:p>
          <w:p w:rsidR="00C51CD4" w:rsidRPr="00C51CD4" w:rsidRDefault="00C51CD4" w:rsidP="00C51CD4">
            <w:pPr>
              <w:jc w:val="both"/>
              <w:rPr>
                <w:rFonts w:ascii="Cambria" w:hAnsi="Cambria"/>
                <w:sz w:val="20"/>
                <w:szCs w:val="20"/>
              </w:rPr>
            </w:pPr>
            <w:r w:rsidRPr="00C51CD4">
              <w:rPr>
                <w:rFonts w:ascii="Cambria" w:hAnsi="Cambria"/>
                <w:sz w:val="20"/>
                <w:szCs w:val="20"/>
              </w:rPr>
              <w:t>a) 0.5 puntos se destinarán a la financiación del aseguramiento en el marco del Sistema General de Seguridad Social en Salud;</w:t>
            </w:r>
          </w:p>
          <w:p w:rsidR="00C51CD4" w:rsidRDefault="00C51CD4" w:rsidP="00C51CD4">
            <w:pPr>
              <w:jc w:val="both"/>
              <w:rPr>
                <w:rFonts w:ascii="Cambria" w:hAnsi="Cambria"/>
                <w:color w:val="454545"/>
                <w:sz w:val="20"/>
                <w:szCs w:val="20"/>
              </w:rPr>
            </w:pPr>
            <w:r w:rsidRPr="00C51CD4">
              <w:rPr>
                <w:rFonts w:ascii="Cambria" w:hAnsi="Cambria"/>
                <w:sz w:val="20"/>
                <w:szCs w:val="20"/>
              </w:rPr>
              <w:t>b) 0.5 puntos se destinarán a la financiación de la educación. El cuarenta por ciento (40%) de este recaudo se destinará a la financiación de la Educación Superior Pública.</w:t>
            </w:r>
          </w:p>
          <w:p w:rsidR="00C51CD4" w:rsidRPr="00C51CD4" w:rsidRDefault="00C51CD4" w:rsidP="00C51CD4">
            <w:pPr>
              <w:jc w:val="both"/>
              <w:rPr>
                <w:rFonts w:ascii="Cambria" w:hAnsi="Cambria"/>
                <w:color w:val="454545"/>
                <w:sz w:val="20"/>
                <w:szCs w:val="20"/>
              </w:rPr>
            </w:pPr>
            <w:r w:rsidRPr="00C51CD4">
              <w:rPr>
                <w:rFonts w:ascii="Cambria" w:hAnsi="Cambria"/>
                <w:color w:val="454545"/>
                <w:sz w:val="20"/>
                <w:szCs w:val="20"/>
              </w:rPr>
              <w:t xml:space="preserve"> </w:t>
            </w:r>
          </w:p>
          <w:p w:rsidR="00C51CD4" w:rsidRPr="00C51CD4" w:rsidRDefault="00C51CD4" w:rsidP="00C51CD4">
            <w:pPr>
              <w:jc w:val="both"/>
              <w:rPr>
                <w:rFonts w:ascii="Cambria" w:hAnsi="Cambria"/>
                <w:b/>
                <w:bCs/>
                <w:color w:val="000000" w:themeColor="text1"/>
                <w:sz w:val="20"/>
                <w:szCs w:val="20"/>
              </w:rPr>
            </w:pPr>
          </w:p>
        </w:tc>
        <w:tc>
          <w:tcPr>
            <w:tcW w:w="4865" w:type="dxa"/>
          </w:tcPr>
          <w:p w:rsidR="00C51CD4" w:rsidRPr="00C51CD4" w:rsidRDefault="00C51CD4" w:rsidP="00C51CD4">
            <w:pPr>
              <w:jc w:val="both"/>
              <w:rPr>
                <w:rFonts w:ascii="Cambria" w:hAnsi="Cambria"/>
                <w:color w:val="454545"/>
                <w:sz w:val="20"/>
                <w:szCs w:val="20"/>
              </w:rPr>
            </w:pPr>
            <w:r w:rsidRPr="00C51CD4">
              <w:rPr>
                <w:rFonts w:ascii="Cambria" w:hAnsi="Cambria"/>
                <w:b/>
                <w:bCs/>
                <w:color w:val="000000" w:themeColor="text1"/>
                <w:sz w:val="20"/>
                <w:szCs w:val="20"/>
              </w:rPr>
              <w:t>Articulo 468. Tarifa general del impuesto sobre las ventas</w:t>
            </w:r>
            <w:r w:rsidRPr="00C51CD4">
              <w:rPr>
                <w:rFonts w:ascii="Cambria" w:hAnsi="Cambria"/>
                <w:color w:val="00A9E0"/>
                <w:sz w:val="20"/>
                <w:szCs w:val="20"/>
                <w:u w:val="single"/>
              </w:rPr>
              <w:t>.</w:t>
            </w:r>
            <w:r w:rsidRPr="00C51CD4">
              <w:rPr>
                <w:rFonts w:ascii="Cambria" w:hAnsi="Cambria"/>
                <w:b/>
                <w:bCs/>
                <w:color w:val="000000" w:themeColor="text1"/>
                <w:sz w:val="20"/>
                <w:szCs w:val="20"/>
              </w:rPr>
              <w:t xml:space="preserve"> (</w:t>
            </w:r>
            <w:r w:rsidRPr="00C51CD4">
              <w:rPr>
                <w:rFonts w:ascii="Cambria" w:hAnsi="Cambria"/>
                <w:b/>
                <w:bCs/>
                <w:color w:val="FF0000"/>
                <w:sz w:val="20"/>
                <w:szCs w:val="20"/>
                <w:shd w:val="clear" w:color="auto" w:fill="FFFFFF"/>
              </w:rPr>
              <w:t xml:space="preserve">modificado con artículo 6 del proyecto de </w:t>
            </w:r>
            <w:r w:rsidR="00FB60A2">
              <w:rPr>
                <w:rFonts w:ascii="Cambria" w:hAnsi="Cambria"/>
                <w:b/>
                <w:bCs/>
                <w:color w:val="FF0000"/>
                <w:sz w:val="20"/>
                <w:szCs w:val="20"/>
                <w:shd w:val="clear" w:color="auto" w:fill="FFFFFF"/>
              </w:rPr>
              <w:t>Ley de septiembre de 2025</w:t>
            </w:r>
            <w:r w:rsidRPr="00C51CD4">
              <w:rPr>
                <w:rFonts w:ascii="Cambria" w:hAnsi="Cambria"/>
                <w:b/>
                <w:bCs/>
                <w:color w:val="FF0000"/>
                <w:sz w:val="20"/>
                <w:szCs w:val="20"/>
                <w:shd w:val="clear" w:color="auto" w:fill="FFFFFF"/>
              </w:rPr>
              <w:t>)</w:t>
            </w:r>
            <w:r w:rsidRPr="00C51CD4">
              <w:rPr>
                <w:rFonts w:ascii="Cambria" w:hAnsi="Cambria"/>
                <w:color w:val="FF0000"/>
                <w:sz w:val="20"/>
                <w:szCs w:val="20"/>
                <w:u w:val="single"/>
                <w:shd w:val="clear" w:color="auto" w:fill="FFFFFF"/>
              </w:rPr>
              <w:t>.</w:t>
            </w:r>
            <w:r w:rsidRPr="00C51CD4">
              <w:rPr>
                <w:rFonts w:ascii="Cambria" w:hAnsi="Cambria"/>
                <w:color w:val="FF0000"/>
                <w:sz w:val="20"/>
                <w:szCs w:val="20"/>
                <w:shd w:val="clear" w:color="auto" w:fill="FFFFFF"/>
              </w:rPr>
              <w:t> </w:t>
            </w:r>
            <w:r w:rsidRPr="00C51CD4">
              <w:rPr>
                <w:rFonts w:ascii="Cambria" w:hAnsi="Cambria"/>
                <w:sz w:val="20"/>
                <w:szCs w:val="20"/>
              </w:rPr>
              <w:t>  La tarifa general del impuesto sobre las ventas es del diecinueve por ciento (19%) salvo las excepciones contempladas en este título.</w:t>
            </w:r>
          </w:p>
          <w:p w:rsidR="00C51CD4" w:rsidRPr="00C51CD4" w:rsidRDefault="00C51CD4" w:rsidP="00C51CD4">
            <w:pPr>
              <w:jc w:val="both"/>
              <w:rPr>
                <w:rFonts w:ascii="Cambria" w:hAnsi="Cambria"/>
                <w:color w:val="454545"/>
                <w:sz w:val="20"/>
                <w:szCs w:val="20"/>
              </w:rPr>
            </w:pPr>
            <w:r w:rsidRPr="00C51CD4">
              <w:rPr>
                <w:rFonts w:ascii="Cambria" w:hAnsi="Cambria"/>
                <w:color w:val="454545"/>
                <w:sz w:val="20"/>
                <w:szCs w:val="20"/>
              </w:rPr>
              <w:t xml:space="preserve"> </w:t>
            </w:r>
          </w:p>
          <w:p w:rsidR="00C51CD4" w:rsidRPr="00C51CD4" w:rsidRDefault="00C51CD4" w:rsidP="00C51CD4">
            <w:pPr>
              <w:jc w:val="both"/>
              <w:rPr>
                <w:rFonts w:ascii="Cambria" w:hAnsi="Cambria"/>
                <w:sz w:val="20"/>
                <w:szCs w:val="20"/>
              </w:rPr>
            </w:pPr>
            <w:r w:rsidRPr="00C51CD4">
              <w:rPr>
                <w:rFonts w:ascii="Cambria" w:hAnsi="Cambria"/>
                <w:sz w:val="20"/>
                <w:szCs w:val="20"/>
              </w:rPr>
              <w:t>A partir del año gravable 2017, del recaudo del impuesto sobre las ventas un (1) punto se destinará así:</w:t>
            </w:r>
          </w:p>
          <w:p w:rsidR="00C51CD4" w:rsidRPr="00C51CD4" w:rsidRDefault="00C51CD4" w:rsidP="00C51CD4">
            <w:pPr>
              <w:jc w:val="both"/>
              <w:rPr>
                <w:rFonts w:ascii="Cambria" w:hAnsi="Cambria"/>
                <w:sz w:val="20"/>
                <w:szCs w:val="20"/>
              </w:rPr>
            </w:pPr>
            <w:r w:rsidRPr="00C51CD4">
              <w:rPr>
                <w:rFonts w:ascii="Cambria" w:hAnsi="Cambria"/>
                <w:sz w:val="20"/>
                <w:szCs w:val="20"/>
              </w:rPr>
              <w:t>a) 0.5 puntos se destinarán a la financiación del aseguramiento en el marco del Sistema General de Seguridad Social en Salud;</w:t>
            </w:r>
          </w:p>
          <w:p w:rsidR="00C51CD4" w:rsidRPr="00C51CD4" w:rsidRDefault="00C51CD4" w:rsidP="00C51CD4">
            <w:pPr>
              <w:jc w:val="both"/>
              <w:rPr>
                <w:rFonts w:ascii="Cambria" w:hAnsi="Cambria"/>
                <w:color w:val="454545"/>
                <w:sz w:val="20"/>
                <w:szCs w:val="20"/>
              </w:rPr>
            </w:pPr>
            <w:r w:rsidRPr="00C51CD4">
              <w:rPr>
                <w:rFonts w:ascii="Cambria" w:hAnsi="Cambria"/>
                <w:sz w:val="20"/>
                <w:szCs w:val="20"/>
              </w:rPr>
              <w:t>b) 0.5 puntos se destinarán a la financiación de la educación. El cuarenta por ciento (40%) de este recaudo se destinará a la financiación de la Educación Superior Pública.</w:t>
            </w:r>
          </w:p>
          <w:p w:rsidR="00C51CD4" w:rsidRPr="00C51CD4" w:rsidRDefault="00C51CD4" w:rsidP="00C51CD4">
            <w:pPr>
              <w:jc w:val="both"/>
              <w:rPr>
                <w:rFonts w:ascii="Cambria" w:hAnsi="Cambria"/>
                <w:color w:val="454545"/>
                <w:sz w:val="20"/>
                <w:szCs w:val="20"/>
              </w:rPr>
            </w:pPr>
            <w:r w:rsidRPr="00C51CD4">
              <w:rPr>
                <w:rFonts w:ascii="Cambria" w:hAnsi="Cambria"/>
                <w:color w:val="454545"/>
                <w:sz w:val="20"/>
                <w:szCs w:val="20"/>
              </w:rPr>
              <w:t xml:space="preserve"> </w:t>
            </w:r>
          </w:p>
          <w:p w:rsidR="00C51CD4" w:rsidRPr="00C51CD4" w:rsidRDefault="00C51CD4" w:rsidP="00C51CD4">
            <w:pPr>
              <w:pStyle w:val="Default"/>
              <w:jc w:val="both"/>
              <w:rPr>
                <w:rFonts w:ascii="Cambria" w:hAnsi="Cambria"/>
                <w:sz w:val="20"/>
                <w:szCs w:val="20"/>
                <w:highlight w:val="yellow"/>
              </w:rPr>
            </w:pPr>
            <w:r w:rsidRPr="00C51CD4">
              <w:rPr>
                <w:rFonts w:ascii="Cambria" w:hAnsi="Cambria"/>
                <w:b/>
                <w:bCs/>
                <w:sz w:val="20"/>
                <w:szCs w:val="20"/>
                <w:highlight w:val="yellow"/>
              </w:rPr>
              <w:t xml:space="preserve">Parágrafo. </w:t>
            </w:r>
            <w:r w:rsidRPr="00C51CD4">
              <w:rPr>
                <w:rFonts w:ascii="Cambria" w:hAnsi="Cambria"/>
                <w:sz w:val="20"/>
                <w:szCs w:val="20"/>
                <w:highlight w:val="yellow"/>
              </w:rPr>
              <w:t xml:space="preserve">Los siguientes combustibles líquidos derivados del petróleo tendrán la siguiente tarifa del impuesto sobre las ventas -IVA: </w:t>
            </w:r>
          </w:p>
          <w:p w:rsidR="00C51CD4" w:rsidRDefault="00C51CD4" w:rsidP="00C51CD4">
            <w:pPr>
              <w:pStyle w:val="Default"/>
              <w:jc w:val="both"/>
              <w:rPr>
                <w:rFonts w:ascii="Cambria" w:hAnsi="Cambria"/>
                <w:sz w:val="20"/>
                <w:szCs w:val="20"/>
                <w:highlight w:val="yellow"/>
              </w:rPr>
            </w:pPr>
          </w:p>
          <w:p w:rsidR="00C51CD4" w:rsidRPr="00C51CD4" w:rsidRDefault="00C51CD4" w:rsidP="00C51CD4">
            <w:pPr>
              <w:pStyle w:val="Default"/>
              <w:jc w:val="both"/>
              <w:rPr>
                <w:rFonts w:ascii="Cambria" w:hAnsi="Cambria"/>
                <w:sz w:val="20"/>
                <w:szCs w:val="20"/>
                <w:highlight w:val="yellow"/>
              </w:rPr>
            </w:pPr>
            <w:r w:rsidRPr="00C51CD4">
              <w:rPr>
                <w:rFonts w:ascii="Cambria" w:hAnsi="Cambria"/>
                <w:sz w:val="20"/>
                <w:szCs w:val="20"/>
                <w:highlight w:val="yellow"/>
              </w:rPr>
              <w:t xml:space="preserve">1. Para el año 2026 la tarifa del ingreso al productor en la venta de gasolina será del 10%. A partir del 1 de enero de 2027 estará gravado a la tarifa general. </w:t>
            </w:r>
          </w:p>
          <w:p w:rsidR="00C51CD4" w:rsidRDefault="00C51CD4" w:rsidP="00C51CD4">
            <w:pPr>
              <w:pStyle w:val="Default"/>
              <w:jc w:val="both"/>
              <w:rPr>
                <w:rFonts w:ascii="Cambria" w:hAnsi="Cambria"/>
                <w:sz w:val="20"/>
                <w:szCs w:val="20"/>
                <w:highlight w:val="yellow"/>
              </w:rPr>
            </w:pPr>
          </w:p>
          <w:p w:rsidR="00C51CD4" w:rsidRPr="00C51CD4" w:rsidRDefault="00C51CD4" w:rsidP="00C51CD4">
            <w:pPr>
              <w:pStyle w:val="Default"/>
              <w:jc w:val="both"/>
              <w:rPr>
                <w:rFonts w:ascii="Cambria" w:hAnsi="Cambria"/>
                <w:sz w:val="20"/>
                <w:szCs w:val="20"/>
                <w:highlight w:val="yellow"/>
              </w:rPr>
            </w:pPr>
            <w:r w:rsidRPr="00C51CD4">
              <w:rPr>
                <w:rFonts w:ascii="Cambria" w:hAnsi="Cambria"/>
                <w:sz w:val="20"/>
                <w:szCs w:val="20"/>
                <w:highlight w:val="yellow"/>
              </w:rPr>
              <w:t xml:space="preserve">2. Para los años 2026 y 2027, la tarifa del ingreso al productor en la venta de ACPM será del 10% y a partir del 1 de enero de 2028 aplicará la tarifa general. </w:t>
            </w:r>
          </w:p>
          <w:p w:rsidR="00C51CD4" w:rsidRDefault="00C51CD4" w:rsidP="00C51CD4">
            <w:pPr>
              <w:pStyle w:val="Default"/>
              <w:jc w:val="both"/>
              <w:rPr>
                <w:rFonts w:ascii="Cambria" w:hAnsi="Cambria"/>
                <w:sz w:val="20"/>
                <w:szCs w:val="20"/>
                <w:highlight w:val="yellow"/>
              </w:rPr>
            </w:pPr>
          </w:p>
          <w:p w:rsidR="00C51CD4" w:rsidRPr="00C51CD4" w:rsidRDefault="00C51CD4" w:rsidP="00C51CD4">
            <w:pPr>
              <w:pStyle w:val="Default"/>
              <w:jc w:val="both"/>
              <w:rPr>
                <w:rFonts w:ascii="Cambria" w:hAnsi="Cambria"/>
                <w:sz w:val="20"/>
                <w:szCs w:val="20"/>
                <w:highlight w:val="yellow"/>
              </w:rPr>
            </w:pPr>
            <w:r w:rsidRPr="00C51CD4">
              <w:rPr>
                <w:rFonts w:ascii="Cambria" w:hAnsi="Cambria"/>
                <w:sz w:val="20"/>
                <w:szCs w:val="20"/>
                <w:highlight w:val="yellow"/>
              </w:rPr>
              <w:t xml:space="preserve">3. A partir del 1 de enero de 2027 el biocombustible de origen vegetal o animal para uso en motores diésel de producción nacional con destino a la mezcla con ACPM estará gravado a la tarifa general. </w:t>
            </w:r>
          </w:p>
          <w:p w:rsidR="00C51CD4" w:rsidRDefault="00C51CD4" w:rsidP="00C51CD4">
            <w:pPr>
              <w:pStyle w:val="Default"/>
              <w:jc w:val="both"/>
              <w:rPr>
                <w:rFonts w:ascii="Cambria" w:hAnsi="Cambria"/>
                <w:sz w:val="20"/>
                <w:szCs w:val="20"/>
                <w:highlight w:val="yellow"/>
              </w:rPr>
            </w:pPr>
          </w:p>
          <w:p w:rsidR="00C51CD4" w:rsidRPr="00C51CD4" w:rsidRDefault="00C51CD4" w:rsidP="00C51CD4">
            <w:pPr>
              <w:pStyle w:val="Default"/>
              <w:jc w:val="both"/>
              <w:rPr>
                <w:rFonts w:ascii="Cambria" w:hAnsi="Cambria"/>
                <w:sz w:val="20"/>
                <w:szCs w:val="20"/>
                <w:highlight w:val="yellow"/>
              </w:rPr>
            </w:pPr>
            <w:r w:rsidRPr="00C51CD4">
              <w:rPr>
                <w:rFonts w:ascii="Cambria" w:hAnsi="Cambria"/>
                <w:sz w:val="20"/>
                <w:szCs w:val="20"/>
                <w:highlight w:val="yellow"/>
              </w:rPr>
              <w:t xml:space="preserve">4. A partir del 1 de julio de 2026 el alcohol carburante con destino a la mezcla con gasolina para los vehículos automotores estará gravado a la tarifa general. </w:t>
            </w:r>
          </w:p>
          <w:p w:rsidR="00C51CD4" w:rsidRPr="00C51CD4" w:rsidRDefault="00C51CD4" w:rsidP="00C51CD4">
            <w:pPr>
              <w:jc w:val="both"/>
              <w:rPr>
                <w:rFonts w:ascii="Cambria" w:hAnsi="Cambria"/>
                <w:color w:val="454545"/>
                <w:sz w:val="20"/>
                <w:szCs w:val="20"/>
              </w:rPr>
            </w:pPr>
            <w:r w:rsidRPr="00C51CD4">
              <w:rPr>
                <w:rFonts w:ascii="Cambria" w:hAnsi="Cambria"/>
                <w:sz w:val="20"/>
                <w:szCs w:val="20"/>
                <w:highlight w:val="yellow"/>
              </w:rPr>
              <w:lastRenderedPageBreak/>
              <w:t>5. Para todos los demás combustibles derivados del petróleo y sujetos responsables de estos bienes, se aplicará la tarifa general desde el 1 de enero de 2026.</w:t>
            </w:r>
            <w:r w:rsidRPr="00C51CD4">
              <w:rPr>
                <w:rFonts w:ascii="Cambria" w:hAnsi="Cambria"/>
                <w:sz w:val="20"/>
                <w:szCs w:val="20"/>
              </w:rPr>
              <w:t xml:space="preserve"> </w:t>
            </w:r>
          </w:p>
          <w:p w:rsidR="00C51CD4" w:rsidRPr="00C51CD4" w:rsidRDefault="00C51CD4" w:rsidP="00C51CD4">
            <w:pPr>
              <w:jc w:val="both"/>
              <w:rPr>
                <w:rFonts w:ascii="Cambria" w:hAnsi="Cambria"/>
                <w:b/>
                <w:bCs/>
                <w:color w:val="000000" w:themeColor="text1"/>
                <w:sz w:val="20"/>
                <w:szCs w:val="20"/>
              </w:rPr>
            </w:pPr>
          </w:p>
        </w:tc>
      </w:tr>
      <w:tr w:rsidR="00D1040F" w:rsidTr="0059378C">
        <w:tc>
          <w:tcPr>
            <w:tcW w:w="4958" w:type="dxa"/>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b/>
                <w:sz w:val="16"/>
                <w:szCs w:val="16"/>
              </w:rPr>
              <w:lastRenderedPageBreak/>
              <w:t>Artículo 468-1. Bienes gravados con la tarifa del cinco por ciento (5%)</w:t>
            </w:r>
            <w:r>
              <w:rPr>
                <w:rFonts w:ascii="Cambria" w:hAnsi="Cambria" w:cstheme="minorHAnsi"/>
                <w:b/>
                <w:sz w:val="16"/>
                <w:szCs w:val="16"/>
              </w:rPr>
              <w:t xml:space="preserve">. </w:t>
            </w:r>
            <w:r w:rsidRPr="00DB47D4">
              <w:rPr>
                <w:rFonts w:ascii="Cambria" w:hAnsi="Cambria" w:cstheme="minorHAnsi"/>
                <w:sz w:val="16"/>
                <w:szCs w:val="16"/>
              </w:rPr>
              <w:t>Los siguientes bienes quedan gravados con la tarifa del cinco por ciento (5%):</w:t>
            </w:r>
          </w:p>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w:t>
            </w:r>
          </w:p>
          <w:p w:rsidR="00D1040F" w:rsidRPr="00DB47D4" w:rsidRDefault="00D1040F" w:rsidP="00D1040F">
            <w:pPr>
              <w:jc w:val="both"/>
              <w:rPr>
                <w:rFonts w:ascii="Cambria" w:hAnsi="Cambria" w:cstheme="minorHAnsi"/>
                <w:sz w:val="16"/>
                <w:szCs w:val="16"/>
                <w:lang w:eastAsia="es-CO"/>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firstRow="1" w:lastRow="0" w:firstColumn="1" w:lastColumn="0" w:noHBand="0" w:noVBand="1"/>
            </w:tblPr>
            <w:tblGrid>
              <w:gridCol w:w="1651"/>
              <w:gridCol w:w="3075"/>
            </w:tblGrid>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09.01</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Café, incluso tostado o descafeinado; cáscara y cascarilla de café; sucedáneos del café que contengan café en cualquier proporción, excepto el de la subpartida 09.01.11</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10.01</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Trigo y morcajo (tranquillón), excepto el utilizado para la siembra.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10.02.90.00.00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Centeno.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10.04.90.00.00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Avena.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10.05.90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Maíz para uso industrial.</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10.06</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Arroz para uso industrial.</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10.07.90.00.00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Sorgo de grano.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10.08</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Alforfón, mijo y alpiste; los demás cereales.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11.01.00.00.00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trigo o de morcajo (tranquillón)</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11.02</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cereales, excepto de trigo o de morcajo (tranquillón)</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11.04.12.00.00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Granos aplastados o en copos de avena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12.01.90.00.00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Habas de soya.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12.07.10.90.00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Nuez y almendra de palma.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12.07.29.00.00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Semillas de algodón.</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12.07.99.99.00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Fruto de palma de aceite</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12.08</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semillas o de frutos oleaginosos, excepto la harina de mostaza.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15.07.10.00.00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soya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15.11.10.00.00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palma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15.12.11.10.00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girasol</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15.12.21.00.00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algodón</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15.13.21.10.00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almendra de palma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15.14.11.00.00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colza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15.15.21.00.00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maíz</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16.01</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el salchichón y la butifarra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16.02</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la mortadela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17.01</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Azúcar de caña o de remolacha y sacarosa químicamente pura, en estado sólido, excepto la de la subpartida 17.01.13.00.00</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17.03</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Melaza procedente de la extracción o del refinado de la azúcar.</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18.06.32.00.90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Chocolate de mesa.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19.02.11.00.00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Pastas alimenticias sin cocer, rellenar ni preparar de otra forma que contengan huevo.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19.02.19.00.00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Las demás pastas alimenticias sin cocer, rellenar, ni preparar de otra forma.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19.05</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555916" w:rsidP="00D1040F">
                  <w:pPr>
                    <w:pStyle w:val="NormalWeb"/>
                    <w:spacing w:before="0" w:beforeAutospacing="0" w:after="0" w:afterAutospacing="0"/>
                    <w:jc w:val="both"/>
                    <w:rPr>
                      <w:rFonts w:ascii="Cambria" w:hAnsi="Cambria" w:cstheme="minorHAnsi"/>
                      <w:sz w:val="16"/>
                      <w:szCs w:val="16"/>
                    </w:rPr>
                  </w:pPr>
                  <w:r>
                    <w:rPr>
                      <w:rFonts w:ascii="Cambria" w:hAnsi="Cambria" w:cstheme="minorHAnsi"/>
                      <w:sz w:val="16"/>
                      <w:szCs w:val="16"/>
                    </w:rPr>
                    <w:t xml:space="preserve">Únicamente </w:t>
                  </w:r>
                  <w:r w:rsidR="00D1040F" w:rsidRPr="00DB47D4">
                    <w:rPr>
                      <w:rFonts w:ascii="Cambria" w:hAnsi="Cambria" w:cstheme="minorHAnsi"/>
                      <w:sz w:val="16"/>
                      <w:szCs w:val="16"/>
                    </w:rPr>
                    <w:t>Los productos de panadería a base de sagú, yuca y achira.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21.01.11.00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Extractos, esencias y concentrados de café.</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21.06.90.61.00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Preparaciones edulcorantes a base de estevia y otros de origen natural.</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21.06.90.69.00</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Preparaciones edulcorantes a base de sustancias sintéticas o </w:t>
                  </w:r>
                  <w:proofErr w:type="spellStart"/>
                  <w:r w:rsidRPr="00DB47D4">
                    <w:rPr>
                      <w:rFonts w:ascii="Cambria" w:hAnsi="Cambria" w:cstheme="minorHAnsi"/>
                      <w:sz w:val="16"/>
                      <w:szCs w:val="16"/>
                    </w:rPr>
                    <w:t>artificilaes</w:t>
                  </w:r>
                  <w:proofErr w:type="spellEnd"/>
                  <w:r w:rsidRPr="00DB47D4">
                    <w:rPr>
                      <w:rFonts w:ascii="Cambria" w:hAnsi="Cambria" w:cstheme="minorHAnsi"/>
                      <w:sz w:val="16"/>
                      <w:szCs w:val="16"/>
                    </w:rPr>
                    <w:t>.</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23.01</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polvo y pellets, de carne, despojos, pescados o de crustáceos, moluscos o demás invertebrados acuáticos, impropios para la alimentación humana; chicharrones.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23.02</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Salvados, moyuelos y demás residuos del cernido, de la molienda o de otros tratamientos de los cereales o de las leguminosas incluso en pellets.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23.03</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Residuos de la industria del almidón y residuos similares, pulpa de remolacha, bagazo de caña de azúcar y demás desperdicios de la industria azucarera, heces y desperdicios de cervecería o de destilería, incluso en “pellets”.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23.04</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del aceite desoja (soya), incluso molidos o en “pellets”.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23.05</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del aceite de maní (cacahuete, cacahuate), incluso molidos o en “pellets”.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23.06</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 grasas o aceites vegetales, incluso molidos o en “pellets”, excepto los de las partidas 23.04 o 23.05.</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23.08</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Materias vegetales y desperdicios vegetales, residuos y subproductos vegetales, incluso en “pellets”, de los tipos utilizados para la alimentación de los animales, no expresados ni comprendidos en otra parte.</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23.09</w:t>
                  </w:r>
                </w:p>
              </w:tc>
              <w:tc>
                <w:tcPr>
                  <w:tcW w:w="3074"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Preparaciones de los tipos utilizados para la alimentación de los animales.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44.03</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Madera en bruto, incluso descortezada, </w:t>
                  </w:r>
                  <w:proofErr w:type="spellStart"/>
                  <w:r w:rsidRPr="00DB47D4">
                    <w:rPr>
                      <w:rFonts w:ascii="Cambria" w:hAnsi="Cambria" w:cstheme="minorHAnsi"/>
                      <w:sz w:val="16"/>
                      <w:szCs w:val="16"/>
                    </w:rPr>
                    <w:t>desalburada</w:t>
                  </w:r>
                  <w:proofErr w:type="spellEnd"/>
                  <w:r w:rsidRPr="00DB47D4">
                    <w:rPr>
                      <w:rFonts w:ascii="Cambria" w:hAnsi="Cambria" w:cstheme="minorHAnsi"/>
                      <w:sz w:val="16"/>
                      <w:szCs w:val="16"/>
                    </w:rPr>
                    <w:t xml:space="preserve"> o escuadrada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52.01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Algodón sin cardar ni peinar</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73.11.00.10.00</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Recipientes para gas comprimido o licuado, de fundición, hierro o acero, sin soldadura, componentes del plan de gas vehicular</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r>
            <w:tr w:rsidR="00D1040F" w:rsidRPr="00DB47D4" w:rsidTr="00603453">
              <w:trPr>
                <w:trHeight w:val="2403"/>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82.01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Layas, palas, azadas, picos, binaderas, horcas de labranza, rastrillos y raederas; hachas, hocinos y herramientas similares con filo; tijeras de podar de cualquier tipo; hoces y guadañas, cuchillos para heno o para paja, cizallas para setos, cuñas y demás.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82.08.40.00.00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Cuchillas y hojas cortantes para máquinas agrícolas, hortícolas o forestales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84.09.91.60.00</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Carburadores y sus partes (repuestos) componentes del plan de gas vehicular.</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r>
            <w:tr w:rsidR="00603453"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603453" w:rsidRPr="00603453" w:rsidRDefault="00603453" w:rsidP="00603453">
                  <w:pPr>
                    <w:jc w:val="both"/>
                    <w:rPr>
                      <w:rFonts w:ascii="Cambria" w:hAnsi="Cambria" w:cstheme="minorHAnsi"/>
                      <w:sz w:val="16"/>
                      <w:szCs w:val="16"/>
                      <w:lang w:eastAsia="es-CO"/>
                    </w:rPr>
                  </w:pPr>
                  <w:r w:rsidRPr="00603453">
                    <w:rPr>
                      <w:rFonts w:ascii="Cambria" w:hAnsi="Cambria" w:cstheme="minorHAnsi"/>
                      <w:sz w:val="16"/>
                      <w:szCs w:val="16"/>
                      <w:lang w:eastAsia="es-CO"/>
                    </w:rPr>
                    <w:t>84.09.91.91.00</w:t>
                  </w:r>
                </w:p>
                <w:p w:rsidR="00603453" w:rsidRPr="00603453" w:rsidRDefault="00603453" w:rsidP="00603453">
                  <w:pPr>
                    <w:pStyle w:val="NormalWeb"/>
                    <w:spacing w:before="0" w:beforeAutospacing="0" w:after="0" w:afterAutospacing="0"/>
                    <w:jc w:val="both"/>
                    <w:rPr>
                      <w:rFonts w:ascii="Cambria" w:hAnsi="Cambria" w:cstheme="minorHAnsi"/>
                      <w:sz w:val="16"/>
                      <w:szCs w:val="16"/>
                    </w:rPr>
                  </w:pPr>
                </w:p>
              </w:tc>
              <w:tc>
                <w:tcPr>
                  <w:tcW w:w="3074" w:type="dxa"/>
                  <w:tcBorders>
                    <w:top w:val="outset" w:sz="6" w:space="0" w:color="auto"/>
                    <w:left w:val="outset" w:sz="6" w:space="0" w:color="auto"/>
                    <w:bottom w:val="outset" w:sz="6" w:space="0" w:color="auto"/>
                    <w:right w:val="outset" w:sz="6" w:space="0" w:color="auto"/>
                  </w:tcBorders>
                  <w:vAlign w:val="center"/>
                </w:tcPr>
                <w:p w:rsidR="00603453" w:rsidRPr="00603453" w:rsidRDefault="00603453" w:rsidP="00603453">
                  <w:pPr>
                    <w:pStyle w:val="Default"/>
                    <w:jc w:val="both"/>
                    <w:rPr>
                      <w:rFonts w:ascii="Cambria" w:hAnsi="Cambria"/>
                      <w:sz w:val="16"/>
                      <w:szCs w:val="16"/>
                    </w:rPr>
                  </w:pPr>
                  <w:r w:rsidRPr="00603453">
                    <w:rPr>
                      <w:rFonts w:ascii="Cambria" w:hAnsi="Cambria"/>
                      <w:sz w:val="16"/>
                      <w:szCs w:val="16"/>
                    </w:rPr>
                    <w:t xml:space="preserve">Equipo para la conversión del sistema de alimentación de combustible para vehículos automóviles a uso dual </w:t>
                  </w:r>
                  <w:r w:rsidRPr="00603453">
                    <w:rPr>
                      <w:rFonts w:ascii="Cambria" w:hAnsi="Cambria"/>
                      <w:sz w:val="16"/>
                      <w:szCs w:val="16"/>
                    </w:rPr>
                    <w:lastRenderedPageBreak/>
                    <w:t xml:space="preserve">(gas/gasolina) componentes del plan de gas vehicular. </w:t>
                  </w:r>
                </w:p>
                <w:p w:rsidR="00603453" w:rsidRPr="00603453" w:rsidRDefault="00603453" w:rsidP="00603453">
                  <w:pPr>
                    <w:jc w:val="both"/>
                    <w:rPr>
                      <w:rFonts w:ascii="Cambria" w:hAnsi="Cambria" w:cstheme="minorHAnsi"/>
                      <w:sz w:val="16"/>
                      <w:szCs w:val="16"/>
                      <w:lang w:val="es-MX"/>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84.09.91.99.00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Repuestos para Kits del plan de gas </w:t>
                  </w:r>
                  <w:proofErr w:type="spellStart"/>
                  <w:r w:rsidRPr="00DB47D4">
                    <w:rPr>
                      <w:rFonts w:ascii="Cambria" w:hAnsi="Cambria" w:cstheme="minorHAnsi"/>
                      <w:sz w:val="16"/>
                      <w:szCs w:val="16"/>
                    </w:rPr>
                    <w:t>vehícular</w:t>
                  </w:r>
                  <w:proofErr w:type="spellEnd"/>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84.14.80.22.00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Compresores componentes del plan de gas vehicular.</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84.14.90.10.00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Partes de compresores (repuestos) componentes del plan de gas vehicular.</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84.19.31.00.00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Secadores para productos agrícolas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84.19.50.10.00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Intercambiadores de calor; </w:t>
                  </w:r>
                  <w:proofErr w:type="spellStart"/>
                  <w:r w:rsidRPr="00DB47D4">
                    <w:rPr>
                      <w:rFonts w:ascii="Cambria" w:hAnsi="Cambria" w:cstheme="minorHAnsi"/>
                      <w:sz w:val="16"/>
                      <w:szCs w:val="16"/>
                    </w:rPr>
                    <w:t>pasterizadores</w:t>
                  </w:r>
                  <w:proofErr w:type="spellEnd"/>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84.24.82.90.00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Fumigadoras para uso agrícola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84.29.51.00.00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Cargador Frontal</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84.32</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Máquinas, aparatos y artefactos agrícolas, hortícolas o silvícolas, para la preparación o el trabajo del suelo o para el cultivo.</w:t>
                  </w:r>
                  <w:r w:rsidRPr="00DB47D4">
                    <w:rPr>
                      <w:rFonts w:ascii="Cambria" w:hAnsi="Cambria" w:cstheme="minorHAnsi"/>
                      <w:sz w:val="16"/>
                      <w:szCs w:val="16"/>
                    </w:rPr>
                    <w:br/>
                    <w:t> </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84.34</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máquinas de ordeñar y sus partes.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84.36.21.00.00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Incubadoras y criadoras.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84.36.29</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Las demás máquinas y aparatos para la avicultura.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84.36.91.00.00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Partes de máquinas o aparatos para la avicultura.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84.38.80.10.00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proofErr w:type="spellStart"/>
                  <w:r w:rsidRPr="00DB47D4">
                    <w:rPr>
                      <w:rFonts w:ascii="Cambria" w:hAnsi="Cambria" w:cstheme="minorHAnsi"/>
                      <w:sz w:val="16"/>
                      <w:szCs w:val="16"/>
                      <w:lang w:eastAsia="es-CO"/>
                    </w:rPr>
                    <w:t>Descarilladoras</w:t>
                  </w:r>
                  <w:proofErr w:type="spellEnd"/>
                  <w:r w:rsidRPr="00DB47D4">
                    <w:rPr>
                      <w:rFonts w:ascii="Cambria" w:hAnsi="Cambria" w:cstheme="minorHAnsi"/>
                      <w:sz w:val="16"/>
                      <w:szCs w:val="16"/>
                      <w:lang w:eastAsia="es-CO"/>
                    </w:rPr>
                    <w:t xml:space="preserve"> y despulpadoras de café</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85.01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Motores y generadores eléctricos para uso en vehículos eléctricos, híbridos e híbridos enchufables, motocicletas eléctricas y bicicletas eléctricas. </w:t>
                  </w: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85.07</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Acumuladores eléctricos, incluidos sus separadores, aunque sean cuadrados o rectangulares para uso en vehículos eléctricos, </w:t>
                  </w:r>
                  <w:r w:rsidRPr="0037519B">
                    <w:rPr>
                      <w:rFonts w:ascii="Cambria" w:hAnsi="Cambria" w:cstheme="minorHAnsi"/>
                      <w:sz w:val="16"/>
                      <w:szCs w:val="16"/>
                      <w:highlight w:val="yellow"/>
                      <w:lang w:eastAsia="es-CO"/>
                    </w:rPr>
                    <w:t>híbridos e híbridos enchufables,</w:t>
                  </w:r>
                  <w:r w:rsidRPr="00DB47D4">
                    <w:rPr>
                      <w:rFonts w:ascii="Cambria" w:hAnsi="Cambria" w:cstheme="minorHAnsi"/>
                      <w:sz w:val="16"/>
                      <w:szCs w:val="16"/>
                      <w:lang w:eastAsia="es-CO"/>
                    </w:rPr>
                    <w:t xml:space="preserve"> motocicletas eléctricas y bicicletas eléctricas.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85.04</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Cargadores de baterías de vehículos eléctricos, </w:t>
                  </w:r>
                  <w:r w:rsidRPr="0037519B">
                    <w:rPr>
                      <w:rFonts w:ascii="Cambria" w:hAnsi="Cambria" w:cstheme="minorHAnsi"/>
                      <w:sz w:val="16"/>
                      <w:szCs w:val="16"/>
                      <w:highlight w:val="yellow"/>
                      <w:lang w:eastAsia="es-CO"/>
                    </w:rPr>
                    <w:t>híbridos e híbridos enchufables,</w:t>
                  </w:r>
                  <w:r w:rsidRPr="00DB47D4">
                    <w:rPr>
                      <w:rFonts w:ascii="Cambria" w:hAnsi="Cambria" w:cstheme="minorHAnsi"/>
                      <w:sz w:val="16"/>
                      <w:szCs w:val="16"/>
                      <w:lang w:eastAsia="es-CO"/>
                    </w:rPr>
                    <w:t xml:space="preserve"> motocicletas eléctricas y bicicletas eléctricas incluso aquéllos que vienen incluidos en los vehículos, los de </w:t>
                  </w:r>
                  <w:r w:rsidRPr="00DB47D4">
                    <w:rPr>
                      <w:rFonts w:ascii="Cambria" w:hAnsi="Cambria" w:cstheme="minorHAnsi"/>
                      <w:sz w:val="16"/>
                      <w:szCs w:val="16"/>
                      <w:lang w:eastAsia="es-CO"/>
                    </w:rPr>
                    <w:lastRenderedPageBreak/>
                    <w:t>carga rápida (electrolineras) y los de recarga domiciliaria.</w:t>
                  </w: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lastRenderedPageBreak/>
                    <w:t>85.04</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Inversores de carga eléctrica para uso en vehículos eléctricos, </w:t>
                  </w:r>
                  <w:r w:rsidRPr="00603453">
                    <w:rPr>
                      <w:rFonts w:ascii="Cambria" w:hAnsi="Cambria" w:cstheme="minorHAnsi"/>
                      <w:sz w:val="16"/>
                      <w:szCs w:val="16"/>
                      <w:highlight w:val="yellow"/>
                      <w:lang w:eastAsia="es-CO"/>
                    </w:rPr>
                    <w:t>híbridos e híbridos enchufables.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87.02</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 xml:space="preserve">Vehículos automóviles eléctricos, para transporte de 10 o más personas, incluido el conductor, </w:t>
                  </w:r>
                  <w:r w:rsidRPr="00B83C69">
                    <w:rPr>
                      <w:rFonts w:ascii="Cambria" w:hAnsi="Cambria" w:cstheme="minorHAnsi"/>
                      <w:sz w:val="16"/>
                      <w:szCs w:val="16"/>
                      <w:highlight w:val="yellow"/>
                    </w:rPr>
                    <w:t>únicamente para transporte público.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87.03</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B83C69" w:rsidRDefault="00B83C69" w:rsidP="00D1040F">
                  <w:pPr>
                    <w:jc w:val="both"/>
                    <w:rPr>
                      <w:rFonts w:ascii="Cambria" w:hAnsi="Cambria" w:cstheme="minorHAnsi"/>
                      <w:sz w:val="16"/>
                      <w:szCs w:val="16"/>
                      <w:lang w:eastAsia="es-CO"/>
                    </w:rPr>
                  </w:pPr>
                  <w:r w:rsidRPr="00B83C69">
                    <w:rPr>
                      <w:rFonts w:ascii="Cambria" w:hAnsi="Cambria"/>
                      <w:color w:val="343536"/>
                      <w:spacing w:val="2"/>
                      <w:sz w:val="16"/>
                      <w:szCs w:val="16"/>
                      <w:shd w:val="clear" w:color="auto" w:fill="FFFFFF"/>
                    </w:rPr>
                    <w:t xml:space="preserve">Vehículos eléctricos, </w:t>
                  </w:r>
                  <w:r w:rsidRPr="00B83C69">
                    <w:rPr>
                      <w:rFonts w:ascii="Cambria" w:hAnsi="Cambria"/>
                      <w:color w:val="343536"/>
                      <w:spacing w:val="2"/>
                      <w:sz w:val="16"/>
                      <w:szCs w:val="16"/>
                      <w:highlight w:val="yellow"/>
                      <w:shd w:val="clear" w:color="auto" w:fill="FFFFFF"/>
                    </w:rPr>
                    <w:t>híbridos e híbridos enchufables</w:t>
                  </w:r>
                  <w:r w:rsidRPr="00B83C69">
                    <w:rPr>
                      <w:rFonts w:ascii="Cambria" w:hAnsi="Cambria"/>
                      <w:color w:val="343536"/>
                      <w:spacing w:val="2"/>
                      <w:sz w:val="16"/>
                      <w:szCs w:val="16"/>
                      <w:shd w:val="clear" w:color="auto" w:fill="FFFFFF"/>
                    </w:rPr>
                    <w:t xml:space="preserve"> concebidos principalmente para el transporte de personas (excepto la partida 87.02), incluidos los vehículos de tipo familiar ("break" o </w:t>
                  </w:r>
                  <w:proofErr w:type="spellStart"/>
                  <w:r w:rsidRPr="00B83C69">
                    <w:rPr>
                      <w:rFonts w:ascii="Cambria" w:hAnsi="Cambria"/>
                      <w:color w:val="343536"/>
                      <w:spacing w:val="2"/>
                      <w:sz w:val="16"/>
                      <w:szCs w:val="16"/>
                      <w:shd w:val="clear" w:color="auto" w:fill="FFFFFF"/>
                    </w:rPr>
                    <w:t>station</w:t>
                  </w:r>
                  <w:proofErr w:type="spellEnd"/>
                  <w:r w:rsidRPr="00B83C69">
                    <w:rPr>
                      <w:rFonts w:ascii="Cambria" w:hAnsi="Cambria"/>
                      <w:color w:val="343536"/>
                      <w:spacing w:val="2"/>
                      <w:sz w:val="16"/>
                      <w:szCs w:val="16"/>
                      <w:shd w:val="clear" w:color="auto" w:fill="FFFFFF"/>
                    </w:rPr>
                    <w:t xml:space="preserve"> </w:t>
                  </w:r>
                  <w:proofErr w:type="spellStart"/>
                  <w:r w:rsidRPr="00B83C69">
                    <w:rPr>
                      <w:rFonts w:ascii="Cambria" w:hAnsi="Cambria"/>
                      <w:color w:val="343536"/>
                      <w:spacing w:val="2"/>
                      <w:sz w:val="16"/>
                      <w:szCs w:val="16"/>
                      <w:shd w:val="clear" w:color="auto" w:fill="FFFFFF"/>
                    </w:rPr>
                    <w:t>wagon</w:t>
                  </w:r>
                  <w:proofErr w:type="spellEnd"/>
                  <w:r w:rsidRPr="00B83C69">
                    <w:rPr>
                      <w:rFonts w:ascii="Cambria" w:hAnsi="Cambria"/>
                      <w:color w:val="343536"/>
                      <w:spacing w:val="2"/>
                      <w:sz w:val="16"/>
                      <w:szCs w:val="16"/>
                      <w:shd w:val="clear" w:color="auto" w:fill="FFFFFF"/>
                    </w:rPr>
                    <w:t>) y los de carreras</w:t>
                  </w:r>
                  <w:r w:rsidRPr="00B83C69">
                    <w:rPr>
                      <w:rFonts w:ascii="Cambria" w:hAnsi="Cambria"/>
                      <w:strike/>
                      <w:color w:val="343536"/>
                      <w:spacing w:val="2"/>
                      <w:sz w:val="16"/>
                      <w:szCs w:val="16"/>
                      <w:shd w:val="clear" w:color="auto" w:fill="FFFFFF"/>
                    </w:rPr>
                    <w:t>.</w:t>
                  </w:r>
                  <w:r w:rsidR="00D1040F" w:rsidRPr="00B83C69">
                    <w:rPr>
                      <w:rFonts w:ascii="Cambria" w:hAnsi="Cambria" w:cstheme="minorHAnsi"/>
                      <w:sz w:val="16"/>
                      <w:szCs w:val="16"/>
                    </w:rPr>
                    <w:t>.</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87.04</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Vehículos automóviles eléctricos, </w:t>
                  </w:r>
                  <w:r w:rsidRPr="00B83C69">
                    <w:rPr>
                      <w:rFonts w:ascii="Cambria" w:hAnsi="Cambria" w:cstheme="minorHAnsi"/>
                      <w:sz w:val="16"/>
                      <w:szCs w:val="16"/>
                      <w:highlight w:val="yellow"/>
                      <w:lang w:eastAsia="es-CO"/>
                    </w:rPr>
                    <w:t>híbridos e híbridos enchufables</w:t>
                  </w:r>
                  <w:r w:rsidRPr="00DB47D4">
                    <w:rPr>
                      <w:rFonts w:ascii="Cambria" w:hAnsi="Cambria" w:cstheme="minorHAnsi"/>
                      <w:sz w:val="16"/>
                      <w:szCs w:val="16"/>
                      <w:lang w:eastAsia="es-CO"/>
                    </w:rPr>
                    <w:t xml:space="preserve"> para el transporte de mercancías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87.05</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Vehículos automóviles eléctricos, </w:t>
                  </w:r>
                  <w:r w:rsidRPr="00B83C69">
                    <w:rPr>
                      <w:rFonts w:ascii="Cambria" w:hAnsi="Cambria" w:cstheme="minorHAnsi"/>
                      <w:sz w:val="16"/>
                      <w:szCs w:val="16"/>
                      <w:highlight w:val="yellow"/>
                      <w:lang w:eastAsia="es-CO"/>
                    </w:rPr>
                    <w:t>híbridos e híbridos enchufables</w:t>
                  </w:r>
                  <w:r w:rsidRPr="00DB47D4">
                    <w:rPr>
                      <w:rFonts w:ascii="Cambria" w:hAnsi="Cambria" w:cstheme="minorHAnsi"/>
                      <w:sz w:val="16"/>
                      <w:szCs w:val="16"/>
                      <w:lang w:eastAsia="es-CO"/>
                    </w:rPr>
                    <w:t xml:space="preserve"> para usos especiales excepto los concebidos principalmente para el transporte de personas o mercancías.</w:t>
                  </w: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87.06</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Chasis de vehículos automotores eléctricos de las partidas 87.02 y 87.03, únicamente para los de transporte público.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87.07</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rPr>
                    <w:t>Carrocerías de vehículos automotores eléctricos de las partidas 87.02 y 87.03, incluidas las cabinas, únicamente para los de transporte público.</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87.11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Motocicletas eléctricas (incluidos los ciclomotores) cuyo valor exceda de 50 UVT</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87.12</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outlineLvl w:val="1"/>
                    <w:rPr>
                      <w:rFonts w:ascii="Cambria" w:hAnsi="Cambria" w:cs="Arial"/>
                      <w:bCs/>
                      <w:sz w:val="16"/>
                      <w:szCs w:val="16"/>
                      <w:lang w:val="es-ES"/>
                    </w:rPr>
                  </w:pPr>
                  <w:r w:rsidRPr="00DB47D4">
                    <w:rPr>
                      <w:rFonts w:ascii="Cambria" w:hAnsi="Cambria" w:cs="Arial"/>
                      <w:bCs/>
                      <w:color w:val="000000" w:themeColor="text1"/>
                      <w:sz w:val="16"/>
                      <w:szCs w:val="16"/>
                    </w:rPr>
                    <w:t>Bicicletas</w:t>
                  </w:r>
                  <w:r w:rsidRPr="00DB47D4">
                    <w:rPr>
                      <w:rFonts w:ascii="Cambria" w:hAnsi="Cambria" w:cs="Arial"/>
                      <w:bCs/>
                      <w:sz w:val="16"/>
                      <w:szCs w:val="16"/>
                    </w:rPr>
                    <w:t>, y Bicicletas eléctricas (incluidos los triciclos de reparto) cuyo valor exceda de 50 UVT.</w:t>
                  </w:r>
                </w:p>
                <w:p w:rsidR="00D1040F" w:rsidRPr="00DB47D4" w:rsidRDefault="00D1040F" w:rsidP="00D1040F">
                  <w:pPr>
                    <w:jc w:val="both"/>
                    <w:rPr>
                      <w:rFonts w:ascii="Cambria" w:hAnsi="Cambria" w:cstheme="minorHAnsi"/>
                      <w:sz w:val="16"/>
                      <w:szCs w:val="16"/>
                      <w:lang w:eastAsia="es-CO"/>
                    </w:rPr>
                  </w:pPr>
                </w:p>
                <w:p w:rsidR="00D1040F" w:rsidRPr="00DB47D4" w:rsidRDefault="00D1040F" w:rsidP="00D1040F">
                  <w:pPr>
                    <w:jc w:val="both"/>
                    <w:rPr>
                      <w:rFonts w:ascii="Cambria" w:hAnsi="Cambria" w:cstheme="minorHAnsi"/>
                      <w:sz w:val="16"/>
                      <w:szCs w:val="16"/>
                      <w:lang w:eastAsia="es-CO"/>
                    </w:rPr>
                  </w:pP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89.01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Arial"/>
                      <w:bCs/>
                      <w:sz w:val="16"/>
                      <w:szCs w:val="16"/>
                    </w:rPr>
                  </w:pPr>
                  <w:r w:rsidRPr="00DB47D4">
                    <w:rPr>
                      <w:rFonts w:ascii="Cambria" w:hAnsi="Cambria" w:cs="Arial"/>
                      <w:bCs/>
                      <w:sz w:val="16"/>
                      <w:szCs w:val="16"/>
                    </w:rPr>
                    <w:t>Transbordadores, cargueros, gabarras (barcazas) y barcos similares para transporte de personas o mercancías.</w:t>
                  </w: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89.04</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Remolcadores y barcos empujadores.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89.06.90</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Arial"/>
                      <w:bCs/>
                      <w:sz w:val="16"/>
                      <w:szCs w:val="16"/>
                    </w:rPr>
                    <w:t>Los demás barcos y barcos de salvamento excepto los de remo y los de guerra.</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lastRenderedPageBreak/>
                    <w:t>90.25.90.00.00</w:t>
                  </w:r>
                </w:p>
                <w:p w:rsidR="00D1040F" w:rsidRPr="00DB47D4" w:rsidRDefault="00D1040F" w:rsidP="00D1040F">
                  <w:pPr>
                    <w:jc w:val="both"/>
                    <w:rPr>
                      <w:rFonts w:ascii="Cambria" w:hAnsi="Cambria" w:cstheme="minorHAnsi"/>
                      <w:sz w:val="16"/>
                      <w:szCs w:val="16"/>
                      <w:lang w:eastAsia="es-CO"/>
                    </w:rPr>
                  </w:pP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Partes y accesorios surtidores (repuestos), componentes del plan de gas vehicular.</w:t>
                  </w:r>
                </w:p>
                <w:p w:rsidR="00D1040F" w:rsidRPr="00DB47D4" w:rsidRDefault="00D1040F" w:rsidP="00D1040F">
                  <w:pPr>
                    <w:jc w:val="both"/>
                    <w:rPr>
                      <w:rFonts w:ascii="Cambria" w:hAnsi="Cambria" w:cstheme="minorHAnsi"/>
                      <w:sz w:val="16"/>
                      <w:szCs w:val="16"/>
                      <w:lang w:eastAsia="es-CO"/>
                    </w:rPr>
                  </w:pP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90.31</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Unidades de control para motores eléctricos de uso en vehículos eléctricos, </w:t>
                  </w:r>
                  <w:r w:rsidRPr="00B83C69">
                    <w:rPr>
                      <w:rFonts w:ascii="Cambria" w:hAnsi="Cambria" w:cstheme="minorHAnsi"/>
                      <w:sz w:val="16"/>
                      <w:szCs w:val="16"/>
                      <w:highlight w:val="yellow"/>
                      <w:lang w:eastAsia="es-CO"/>
                    </w:rPr>
                    <w:t>híbridos e híbridos enchufables.</w:t>
                  </w:r>
                </w:p>
              </w:tc>
            </w:tr>
            <w:tr w:rsidR="00D1040F" w:rsidRPr="00DB47D4" w:rsidTr="00603453">
              <w:trPr>
                <w:tblCellSpacing w:w="0" w:type="dxa"/>
              </w:trPr>
              <w:tc>
                <w:tcPr>
                  <w:tcW w:w="1651"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90.32</w:t>
                  </w:r>
                </w:p>
              </w:tc>
              <w:tc>
                <w:tcPr>
                  <w:tcW w:w="3074"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Unidades de control de las baterías y del sistema de enfriamiento de las baterías para uso en vehículos eléctricos, </w:t>
                  </w:r>
                  <w:r w:rsidRPr="00B83C69">
                    <w:rPr>
                      <w:rFonts w:ascii="Cambria" w:hAnsi="Cambria" w:cstheme="minorHAnsi"/>
                      <w:sz w:val="16"/>
                      <w:szCs w:val="16"/>
                      <w:highlight w:val="yellow"/>
                      <w:lang w:eastAsia="es-CO"/>
                    </w:rPr>
                    <w:t>híbridos e híbridos enchufables.</w:t>
                  </w:r>
                </w:p>
              </w:tc>
            </w:tr>
          </w:tbl>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w:t>
            </w:r>
          </w:p>
          <w:p w:rsidR="00D1040F" w:rsidRPr="00DB47D4" w:rsidRDefault="00D1040F" w:rsidP="00D1040F">
            <w:pPr>
              <w:pStyle w:val="Default"/>
              <w:jc w:val="both"/>
              <w:rPr>
                <w:rFonts w:ascii="Cambria" w:eastAsia="Times New Roman" w:hAnsi="Cambria" w:cstheme="minorHAnsi"/>
                <w:color w:val="auto"/>
                <w:sz w:val="16"/>
                <w:szCs w:val="16"/>
                <w:lang w:val="es-ES_tradnl" w:eastAsia="es-CO"/>
              </w:rPr>
            </w:pPr>
            <w:r w:rsidRPr="00DB47D4">
              <w:rPr>
                <w:rFonts w:ascii="Cambria" w:eastAsia="Times New Roman" w:hAnsi="Cambria" w:cstheme="minorHAnsi"/>
                <w:color w:val="auto"/>
                <w:sz w:val="16"/>
                <w:szCs w:val="16"/>
                <w:lang w:val="es-ES_tradnl" w:eastAsia="es-CO"/>
              </w:rPr>
              <w:t xml:space="preserve">Adicionalmente: </w:t>
            </w:r>
          </w:p>
          <w:p w:rsidR="00D1040F" w:rsidRPr="00DB47D4" w:rsidRDefault="00D1040F" w:rsidP="00D1040F">
            <w:pPr>
              <w:pStyle w:val="Default"/>
              <w:jc w:val="both"/>
              <w:rPr>
                <w:rFonts w:ascii="Cambria" w:eastAsia="Times New Roman" w:hAnsi="Cambria" w:cstheme="minorHAnsi"/>
                <w:color w:val="auto"/>
                <w:sz w:val="16"/>
                <w:szCs w:val="16"/>
                <w:lang w:val="es-ES_tradnl" w:eastAsia="es-CO"/>
              </w:rPr>
            </w:pPr>
            <w:r w:rsidRPr="00DB47D4">
              <w:rPr>
                <w:rFonts w:ascii="Cambria" w:eastAsia="Times New Roman" w:hAnsi="Cambria" w:cstheme="minorHAnsi"/>
                <w:color w:val="auto"/>
                <w:sz w:val="16"/>
                <w:szCs w:val="16"/>
                <w:lang w:val="es-ES_tradnl" w:eastAsia="es-CO"/>
              </w:rPr>
              <w:t>1.Derogado</w:t>
            </w:r>
          </w:p>
          <w:p w:rsidR="00D1040F" w:rsidRPr="00DB47D4" w:rsidRDefault="00D1040F" w:rsidP="00D1040F">
            <w:pPr>
              <w:jc w:val="both"/>
              <w:outlineLvl w:val="1"/>
              <w:rPr>
                <w:rFonts w:ascii="Cambria" w:hAnsi="Cambria" w:cstheme="minorHAnsi"/>
                <w:sz w:val="16"/>
                <w:szCs w:val="16"/>
                <w:lang w:eastAsia="es-CO"/>
              </w:rPr>
            </w:pPr>
          </w:p>
          <w:p w:rsidR="00D1040F" w:rsidRPr="00DB47D4" w:rsidRDefault="00D1040F" w:rsidP="00D1040F">
            <w:pPr>
              <w:jc w:val="both"/>
              <w:outlineLvl w:val="1"/>
              <w:rPr>
                <w:rFonts w:ascii="Cambria" w:hAnsi="Cambria" w:cstheme="minorHAnsi"/>
                <w:sz w:val="16"/>
                <w:szCs w:val="16"/>
                <w:lang w:eastAsia="es-CO"/>
              </w:rPr>
            </w:pPr>
          </w:p>
          <w:p w:rsidR="00D1040F" w:rsidRPr="00DB47D4" w:rsidRDefault="00D1040F" w:rsidP="00D1040F">
            <w:pPr>
              <w:jc w:val="both"/>
              <w:outlineLvl w:val="1"/>
              <w:rPr>
                <w:rFonts w:ascii="Cambria" w:hAnsi="Cambria" w:cstheme="minorHAnsi"/>
                <w:sz w:val="16"/>
                <w:szCs w:val="16"/>
                <w:lang w:eastAsia="es-CO"/>
              </w:rPr>
            </w:pPr>
          </w:p>
          <w:p w:rsidR="00D1040F" w:rsidRDefault="00D1040F" w:rsidP="00D1040F">
            <w:pPr>
              <w:jc w:val="both"/>
              <w:outlineLvl w:val="1"/>
              <w:rPr>
                <w:rFonts w:ascii="Cambria" w:hAnsi="Cambria" w:cstheme="minorHAnsi"/>
                <w:sz w:val="16"/>
                <w:szCs w:val="16"/>
                <w:lang w:eastAsia="es-CO"/>
              </w:rPr>
            </w:pPr>
          </w:p>
          <w:p w:rsidR="00603453" w:rsidRDefault="00603453" w:rsidP="00D1040F">
            <w:pPr>
              <w:jc w:val="both"/>
              <w:outlineLvl w:val="1"/>
              <w:rPr>
                <w:rFonts w:ascii="Cambria" w:hAnsi="Cambria" w:cstheme="minorHAnsi"/>
                <w:sz w:val="16"/>
                <w:szCs w:val="16"/>
                <w:lang w:eastAsia="es-CO"/>
              </w:rPr>
            </w:pPr>
          </w:p>
          <w:p w:rsidR="00603453" w:rsidRDefault="00603453" w:rsidP="00D1040F">
            <w:pPr>
              <w:jc w:val="both"/>
              <w:outlineLvl w:val="1"/>
              <w:rPr>
                <w:rFonts w:ascii="Cambria" w:hAnsi="Cambria" w:cstheme="minorHAnsi"/>
                <w:sz w:val="16"/>
                <w:szCs w:val="16"/>
                <w:lang w:eastAsia="es-CO"/>
              </w:rPr>
            </w:pPr>
          </w:p>
          <w:p w:rsidR="00603453" w:rsidRDefault="00603453" w:rsidP="00D1040F">
            <w:pPr>
              <w:jc w:val="both"/>
              <w:outlineLvl w:val="1"/>
              <w:rPr>
                <w:rFonts w:ascii="Cambria" w:hAnsi="Cambria" w:cstheme="minorHAnsi"/>
                <w:sz w:val="16"/>
                <w:szCs w:val="16"/>
                <w:lang w:eastAsia="es-CO"/>
              </w:rPr>
            </w:pPr>
          </w:p>
          <w:p w:rsidR="00603453" w:rsidRDefault="00603453" w:rsidP="00D1040F">
            <w:pPr>
              <w:jc w:val="both"/>
              <w:outlineLvl w:val="1"/>
              <w:rPr>
                <w:rFonts w:ascii="Cambria" w:hAnsi="Cambria" w:cstheme="minorHAnsi"/>
                <w:sz w:val="16"/>
                <w:szCs w:val="16"/>
                <w:lang w:eastAsia="es-CO"/>
              </w:rPr>
            </w:pPr>
          </w:p>
          <w:p w:rsidR="00603453" w:rsidRPr="00DB47D4" w:rsidRDefault="00603453" w:rsidP="00D1040F">
            <w:pPr>
              <w:jc w:val="both"/>
              <w:outlineLvl w:val="1"/>
              <w:rPr>
                <w:rFonts w:ascii="Cambria" w:hAnsi="Cambria" w:cstheme="minorHAnsi"/>
                <w:sz w:val="16"/>
                <w:szCs w:val="16"/>
                <w:lang w:eastAsia="es-CO"/>
              </w:rPr>
            </w:pPr>
          </w:p>
          <w:p w:rsidR="00D1040F" w:rsidRPr="00DB47D4" w:rsidRDefault="00D1040F" w:rsidP="00D1040F">
            <w:pPr>
              <w:jc w:val="both"/>
              <w:outlineLvl w:val="1"/>
              <w:rPr>
                <w:rFonts w:ascii="Cambria" w:hAnsi="Cambria" w:cstheme="minorHAnsi"/>
                <w:sz w:val="16"/>
                <w:szCs w:val="16"/>
                <w:lang w:eastAsia="es-CO"/>
              </w:rPr>
            </w:pPr>
          </w:p>
          <w:p w:rsidR="00D1040F" w:rsidRPr="00776880" w:rsidRDefault="00D1040F" w:rsidP="00D1040F">
            <w:pPr>
              <w:jc w:val="both"/>
              <w:outlineLvl w:val="1"/>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2. A partir 1 de enero de 2017, los bienes sujetos a participación o impuesto al consumo de licores, vinos, aperitivos y similares de que trata el articulo 202 de la Ley 223 de 1995.</w:t>
            </w: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776880" w:rsidRDefault="00D1040F" w:rsidP="00D1040F">
            <w:pPr>
              <w:jc w:val="both"/>
              <w:outlineLvl w:val="1"/>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 xml:space="preserve">3. Las neveras nuevas para sustitución,  sujetas al Reglamento Técnico de Etiquetado –RETIQ-, clasificadas en los rangos de energía A, B o C, de acuerdo a la Resolución 41012 de 2015 del Ministerio de Minas y Energía, o la que la modifique o sustituya, siempre y cuando: i) su precio sea igual o inferior a 30 UVT; </w:t>
            </w:r>
            <w:proofErr w:type="spellStart"/>
            <w:r w:rsidRPr="00776880">
              <w:rPr>
                <w:rFonts w:ascii="Cambria" w:hAnsi="Cambria" w:cstheme="minorHAnsi"/>
                <w:sz w:val="16"/>
                <w:szCs w:val="16"/>
                <w:highlight w:val="yellow"/>
                <w:lang w:eastAsia="es-CO"/>
              </w:rPr>
              <w:t>ii</w:t>
            </w:r>
            <w:proofErr w:type="spellEnd"/>
            <w:r w:rsidRPr="00776880">
              <w:rPr>
                <w:rFonts w:ascii="Cambria" w:hAnsi="Cambria" w:cstheme="minorHAnsi"/>
                <w:sz w:val="16"/>
                <w:szCs w:val="16"/>
                <w:highlight w:val="yellow"/>
                <w:lang w:eastAsia="es-CO"/>
              </w:rPr>
              <w:t xml:space="preserve">) se entregue una nevera usada al momento de la compra; y </w:t>
            </w:r>
            <w:proofErr w:type="spellStart"/>
            <w:r w:rsidRPr="00776880">
              <w:rPr>
                <w:rFonts w:ascii="Cambria" w:hAnsi="Cambria" w:cstheme="minorHAnsi"/>
                <w:sz w:val="16"/>
                <w:szCs w:val="16"/>
                <w:highlight w:val="yellow"/>
                <w:lang w:eastAsia="es-CO"/>
              </w:rPr>
              <w:t>iii</w:t>
            </w:r>
            <w:proofErr w:type="spellEnd"/>
            <w:r w:rsidRPr="00776880">
              <w:rPr>
                <w:rFonts w:ascii="Cambria" w:hAnsi="Cambria" w:cstheme="minorHAnsi"/>
                <w:sz w:val="16"/>
                <w:szCs w:val="16"/>
                <w:highlight w:val="yellow"/>
                <w:lang w:eastAsia="es-CO"/>
              </w:rPr>
              <w:t xml:space="preserve">) el comprador pertenezca a un hogar de estrato 1, 2 o 3. El Gobierno Nacional reglamentará la materia para efectos de establecer el mecanismo para garantizar la aplicación de esta tarifa únicamente sobre los bienes objeto de sustitución. </w:t>
            </w: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776880" w:rsidRDefault="00D1040F" w:rsidP="00D1040F">
            <w:pPr>
              <w:jc w:val="both"/>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4. El ingreso al productor en la venta de Gasolina y ACPM. Para efectos de este numeral se considera gasolina y ACPM lo definido en el parágrafo 1 del artículo </w:t>
            </w:r>
            <w:hyperlink r:id="rId68" w:anchor="167" w:history="1">
              <w:r w:rsidRPr="00776880">
                <w:rPr>
                  <w:rFonts w:ascii="Cambria" w:hAnsi="Cambria" w:cstheme="minorHAnsi"/>
                  <w:sz w:val="16"/>
                  <w:szCs w:val="16"/>
                  <w:highlight w:val="yellow"/>
                  <w:lang w:eastAsia="es-CO"/>
                </w:rPr>
                <w:t>167</w:t>
              </w:r>
            </w:hyperlink>
            <w:r w:rsidRPr="00776880">
              <w:rPr>
                <w:rFonts w:ascii="Cambria" w:hAnsi="Cambria" w:cstheme="minorHAnsi"/>
                <w:sz w:val="16"/>
                <w:szCs w:val="16"/>
                <w:highlight w:val="yellow"/>
                <w:lang w:eastAsia="es-CO"/>
              </w:rPr>
              <w:t> de la Ley 1607 de 2012.</w:t>
            </w:r>
          </w:p>
          <w:p w:rsidR="00D1040F" w:rsidRPr="00776880" w:rsidRDefault="00D1040F" w:rsidP="00D1040F">
            <w:pPr>
              <w:jc w:val="both"/>
              <w:rPr>
                <w:highlight w:val="yellow"/>
                <w:lang w:eastAsia="es-CO"/>
              </w:rPr>
            </w:pPr>
          </w:p>
          <w:p w:rsidR="00D1040F" w:rsidRPr="00776880" w:rsidRDefault="00D1040F" w:rsidP="00D1040F">
            <w:pPr>
              <w:jc w:val="both"/>
              <w:rPr>
                <w:highlight w:val="yellow"/>
                <w:lang w:eastAsia="es-CO"/>
              </w:rPr>
            </w:pPr>
          </w:p>
          <w:p w:rsidR="00D1040F" w:rsidRPr="00776880" w:rsidRDefault="00D1040F" w:rsidP="00D1040F">
            <w:pPr>
              <w:jc w:val="both"/>
              <w:outlineLvl w:val="1"/>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A la base gravable determinada de conformidad con el artículo </w:t>
            </w:r>
            <w:hyperlink r:id="rId69" w:anchor="467" w:history="1">
              <w:r w:rsidRPr="00776880">
                <w:rPr>
                  <w:rFonts w:ascii="Cambria" w:hAnsi="Cambria" w:cstheme="minorHAnsi"/>
                  <w:sz w:val="16"/>
                  <w:szCs w:val="16"/>
                  <w:highlight w:val="yellow"/>
                  <w:lang w:eastAsia="es-CO"/>
                </w:rPr>
                <w:t>467</w:t>
              </w:r>
            </w:hyperlink>
            <w:r w:rsidRPr="00776880">
              <w:rPr>
                <w:rFonts w:ascii="Cambria" w:hAnsi="Cambria" w:cstheme="minorHAnsi"/>
                <w:sz w:val="16"/>
                <w:szCs w:val="16"/>
                <w:highlight w:val="yellow"/>
                <w:lang w:eastAsia="es-CO"/>
              </w:rPr>
              <w:t> del Estatuto Tributario, se detrae el ingreso al productor y se le aplica la tarifa general del impuesto sobre las ventas IVA</w:t>
            </w: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776880" w:rsidRDefault="00D1040F" w:rsidP="00D1040F">
            <w:pPr>
              <w:jc w:val="both"/>
              <w:outlineLvl w:val="1"/>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PARÁGRAFO TRANSITORIO: Estará excluida la venta de las unidades de vivienda nueva a que hace referencia el numeral</w:t>
            </w:r>
            <w:r w:rsidRPr="00776880">
              <w:rPr>
                <w:rFonts w:ascii="Cambria" w:hAnsi="Cambria" w:cs="Arial"/>
                <w:b/>
                <w:bCs/>
                <w:i/>
                <w:color w:val="C00000"/>
                <w:sz w:val="16"/>
                <w:szCs w:val="16"/>
                <w:highlight w:val="yellow"/>
                <w:lang w:val="es-ES"/>
              </w:rPr>
              <w:t xml:space="preserve"> </w:t>
            </w:r>
            <w:r w:rsidRPr="00776880">
              <w:rPr>
                <w:rFonts w:ascii="Cambria" w:hAnsi="Cambria" w:cstheme="minorHAnsi"/>
                <w:sz w:val="16"/>
                <w:szCs w:val="16"/>
                <w:highlight w:val="yellow"/>
                <w:lang w:eastAsia="es-CO"/>
              </w:rPr>
              <w:t>1 siempre y cuando se haya suscrito contrato de preventa, documento de separación, encargo de preventa, promesa de compraventa, documento de vinculación al fideicomiso y/o escritura de compraventa antes del 31 de diciembre del 2017, certificado por notario público.</w:t>
            </w: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776880" w:rsidRDefault="00D1040F" w:rsidP="00D1040F">
            <w:pPr>
              <w:jc w:val="both"/>
              <w:rPr>
                <w:rFonts w:ascii="Cambria" w:hAnsi="Cambria" w:cstheme="minorHAnsi"/>
                <w:sz w:val="16"/>
                <w:szCs w:val="16"/>
                <w:highlight w:val="yellow"/>
                <w:lang w:eastAsia="es-CO"/>
              </w:rPr>
            </w:pPr>
            <w:r w:rsidRPr="00776880">
              <w:rPr>
                <w:rFonts w:ascii="Cambria" w:hAnsi="Cambria" w:cstheme="minorHAnsi"/>
                <w:sz w:val="16"/>
                <w:szCs w:val="16"/>
                <w:highlight w:val="yellow"/>
                <w:lang w:eastAsia="es-CO"/>
              </w:rPr>
              <w:t>PARÁGRAFO TRANSITORIO 2o. &lt;Parágrafo adicionado por el artículo </w:t>
            </w:r>
            <w:hyperlink r:id="rId70" w:anchor="74" w:history="1">
              <w:r w:rsidRPr="00776880">
                <w:rPr>
                  <w:rFonts w:ascii="Cambria" w:hAnsi="Cambria" w:cstheme="minorHAnsi"/>
                  <w:sz w:val="16"/>
                  <w:szCs w:val="16"/>
                  <w:highlight w:val="yellow"/>
                  <w:lang w:eastAsia="es-CO"/>
                </w:rPr>
                <w:t>74</w:t>
              </w:r>
            </w:hyperlink>
            <w:r w:rsidRPr="00776880">
              <w:rPr>
                <w:rFonts w:ascii="Cambria" w:hAnsi="Cambria" w:cstheme="minorHAnsi"/>
                <w:sz w:val="16"/>
                <w:szCs w:val="16"/>
                <w:highlight w:val="yellow"/>
                <w:lang w:eastAsia="es-CO"/>
              </w:rPr>
              <w:t xml:space="preserve"> de Ley 1955 de 2019. El nuevo texto es el siguiente:&gt; Para efectos del numeral 4 de este artículo, el exceso de impuesto descontable por la diferencia de tarifa será un mayor valor del costo o gasto hasta el 31 de diciembre de 2021. El exceso de impuesto descontable por la diferencia de tarifa, generado a partir del 1 de enero </w:t>
            </w:r>
            <w:r w:rsidRPr="00776880">
              <w:rPr>
                <w:rFonts w:ascii="Cambria" w:hAnsi="Cambria" w:cstheme="minorHAnsi"/>
                <w:sz w:val="16"/>
                <w:szCs w:val="16"/>
                <w:highlight w:val="yellow"/>
                <w:lang w:eastAsia="es-CO"/>
              </w:rPr>
              <w:lastRenderedPageBreak/>
              <w:t>de 2022 por la venta de productos del numeral 4 de este artículo, se regirá por lo establecido en el parágrafo del artículo </w:t>
            </w:r>
            <w:hyperlink r:id="rId71" w:anchor="485" w:history="1">
              <w:r w:rsidRPr="00776880">
                <w:rPr>
                  <w:rFonts w:ascii="Cambria" w:hAnsi="Cambria" w:cstheme="minorHAnsi"/>
                  <w:sz w:val="16"/>
                  <w:szCs w:val="16"/>
                  <w:highlight w:val="yellow"/>
                  <w:lang w:eastAsia="es-CO"/>
                </w:rPr>
                <w:t>485</w:t>
              </w:r>
            </w:hyperlink>
            <w:r w:rsidRPr="00776880">
              <w:rPr>
                <w:rFonts w:ascii="Cambria" w:hAnsi="Cambria" w:cstheme="minorHAnsi"/>
                <w:sz w:val="16"/>
                <w:szCs w:val="16"/>
                <w:highlight w:val="yellow"/>
                <w:lang w:eastAsia="es-CO"/>
              </w:rPr>
              <w:t> de este Estatuto.</w:t>
            </w:r>
          </w:p>
          <w:p w:rsidR="00D1040F" w:rsidRPr="00776880" w:rsidRDefault="00D1040F" w:rsidP="00D1040F">
            <w:pPr>
              <w:jc w:val="both"/>
              <w:outlineLvl w:val="1"/>
              <w:rPr>
                <w:rFonts w:ascii="Cambria" w:hAnsi="Cambria" w:cstheme="minorHAnsi"/>
                <w:sz w:val="16"/>
                <w:szCs w:val="16"/>
                <w:highlight w:val="yellow"/>
                <w:lang w:eastAsia="es-CO"/>
              </w:rPr>
            </w:pPr>
          </w:p>
          <w:p w:rsidR="00D1040F" w:rsidRPr="00DB47D4" w:rsidRDefault="00D1040F" w:rsidP="00D1040F">
            <w:pPr>
              <w:jc w:val="both"/>
              <w:outlineLvl w:val="1"/>
              <w:rPr>
                <w:rFonts w:ascii="Cambria" w:hAnsi="Cambria" w:cstheme="minorHAnsi"/>
                <w:sz w:val="16"/>
                <w:szCs w:val="16"/>
                <w:lang w:eastAsia="es-CO"/>
              </w:rPr>
            </w:pPr>
            <w:r w:rsidRPr="00776880">
              <w:rPr>
                <w:rFonts w:ascii="Cambria" w:hAnsi="Cambria" w:cstheme="minorHAnsi"/>
                <w:sz w:val="16"/>
                <w:szCs w:val="16"/>
                <w:highlight w:val="yellow"/>
                <w:lang w:eastAsia="es-CO"/>
              </w:rPr>
              <w:t>PARÁGRAFO TRANSITORIO 3o. &lt;Parágrafo adicionado por el artículo </w:t>
            </w:r>
            <w:hyperlink r:id="rId72" w:anchor="74" w:history="1">
              <w:r w:rsidRPr="00776880">
                <w:rPr>
                  <w:rFonts w:ascii="Cambria" w:hAnsi="Cambria" w:cstheme="minorHAnsi"/>
                  <w:sz w:val="16"/>
                  <w:szCs w:val="16"/>
                  <w:highlight w:val="yellow"/>
                  <w:lang w:eastAsia="es-CO"/>
                </w:rPr>
                <w:t>74</w:t>
              </w:r>
            </w:hyperlink>
            <w:r w:rsidRPr="00776880">
              <w:rPr>
                <w:rFonts w:ascii="Cambria" w:hAnsi="Cambria" w:cstheme="minorHAnsi"/>
                <w:sz w:val="16"/>
                <w:szCs w:val="16"/>
                <w:highlight w:val="yellow"/>
                <w:lang w:eastAsia="es-CO"/>
              </w:rPr>
              <w:t> de Ley 1955 de 2019. El nuevo texto es el siguiente:&gt; Lo dispuesto en el numeral 4 de este artículo inicia su aplicación a partir del bimestre siguiente a la vigencia de la presente Ley.</w:t>
            </w:r>
          </w:p>
          <w:p w:rsidR="00D1040F" w:rsidRPr="00DB47D4" w:rsidRDefault="00D1040F" w:rsidP="00D1040F">
            <w:pPr>
              <w:jc w:val="both"/>
              <w:rPr>
                <w:rFonts w:ascii="Cambria" w:hAnsi="Cambria"/>
                <w:sz w:val="20"/>
                <w:szCs w:val="20"/>
                <w:lang w:val="es-ES"/>
              </w:rPr>
            </w:pPr>
          </w:p>
        </w:tc>
        <w:tc>
          <w:tcPr>
            <w:tcW w:w="4865" w:type="dxa"/>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b/>
                <w:sz w:val="16"/>
                <w:szCs w:val="16"/>
              </w:rPr>
              <w:lastRenderedPageBreak/>
              <w:t>Artículo 468-1. Bienes gravados con la tarifa del cinco por ciento (5%)</w:t>
            </w:r>
            <w:r w:rsidR="001D7BD1">
              <w:rPr>
                <w:rFonts w:ascii="Cambria" w:hAnsi="Cambria" w:cstheme="minorHAnsi"/>
                <w:b/>
                <w:sz w:val="16"/>
                <w:szCs w:val="16"/>
              </w:rPr>
              <w:t xml:space="preserve"> (</w:t>
            </w:r>
            <w:r w:rsidR="001D7BD1" w:rsidRPr="001D7BD1">
              <w:rPr>
                <w:rFonts w:ascii="Cambria" w:hAnsi="Cambria" w:cstheme="minorHAnsi"/>
                <w:b/>
                <w:color w:val="FF0000"/>
                <w:sz w:val="16"/>
                <w:szCs w:val="16"/>
              </w:rPr>
              <w:t xml:space="preserve">modificado con artículo 9 del proyecto de </w:t>
            </w:r>
            <w:r w:rsidR="00FB60A2">
              <w:rPr>
                <w:rFonts w:ascii="Cambria" w:hAnsi="Cambria" w:cstheme="minorHAnsi"/>
                <w:b/>
                <w:color w:val="FF0000"/>
                <w:sz w:val="16"/>
                <w:szCs w:val="16"/>
              </w:rPr>
              <w:t>Ley de septiembre de 2025</w:t>
            </w:r>
            <w:r w:rsidR="001D7BD1" w:rsidRPr="001D7BD1">
              <w:rPr>
                <w:rFonts w:ascii="Cambria" w:hAnsi="Cambria" w:cstheme="minorHAnsi"/>
                <w:b/>
                <w:color w:val="FF0000"/>
                <w:sz w:val="16"/>
                <w:szCs w:val="16"/>
              </w:rPr>
              <w:t>)</w:t>
            </w:r>
            <w:r>
              <w:rPr>
                <w:rFonts w:ascii="Cambria" w:hAnsi="Cambria" w:cstheme="minorHAnsi"/>
                <w:b/>
                <w:sz w:val="16"/>
                <w:szCs w:val="16"/>
              </w:rPr>
              <w:t xml:space="preserve">. </w:t>
            </w:r>
            <w:r w:rsidRPr="00DB47D4">
              <w:rPr>
                <w:rFonts w:ascii="Cambria" w:hAnsi="Cambria" w:cstheme="minorHAnsi"/>
                <w:sz w:val="16"/>
                <w:szCs w:val="16"/>
              </w:rPr>
              <w:t>Los siguientes bienes quedan gravados con la tarifa del cinco por ciento (5%):</w:t>
            </w:r>
          </w:p>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w:t>
            </w:r>
          </w:p>
          <w:p w:rsidR="00D1040F" w:rsidRPr="00DB47D4" w:rsidRDefault="00D1040F" w:rsidP="00D1040F">
            <w:pPr>
              <w:jc w:val="both"/>
              <w:rPr>
                <w:rFonts w:ascii="Cambria" w:hAnsi="Cambria" w:cstheme="minorHAnsi"/>
                <w:sz w:val="16"/>
                <w:szCs w:val="16"/>
                <w:lang w:eastAsia="es-CO"/>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firstRow="1" w:lastRow="0" w:firstColumn="1" w:lastColumn="0" w:noHBand="0" w:noVBand="1"/>
            </w:tblPr>
            <w:tblGrid>
              <w:gridCol w:w="1641"/>
              <w:gridCol w:w="2992"/>
            </w:tblGrid>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09.01</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Café, incluso tostado o descafeinado; cáscara y cascarilla de café; sucedáneos del café que contengan café en cualquier proporción, excepto el de la subpartida 09.01.11</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10.01</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Trigo y morcajo (tranquillón), excepto el utilizado para la siembra.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10.02.90.00.00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Centeno.</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10.04.90.00.00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Avena.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10.05.90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Maíz para uso industrial.</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10.06</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Arroz para uso industrial.</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10.07.90.00.00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Sorgo de grano.</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10.08</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Alforfón, mijo y alpiste; los demás cereales.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11.01.00.00.00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trigo o de morcajo (tranquillón)</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11.02</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cereales, excepto de trigo o de morcajo (tranquillón)</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11.04.12.00.00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Granos aplastados o en copos de avena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12.01.90.00.00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Habas de soya.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12.07.10.90.00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Nuez y almendra de palma.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12.07.29.00.00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Semillas de algodón.</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12.07.99.99.00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Fruto de palma de aceite</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12.08</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de semillas o de frutos oleaginosos, excepto la harina de mostaza.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15.07.10.00.00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soya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15.11.10.00.00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palma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15.12.11.10.00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girasol</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15.12.21.00.00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algodón</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15.13.21.10.00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almendra de palma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15.14.11.00.00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colza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15.15.21.00.00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Aceite en bruto de maíz</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16.01</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el salchichón y la butifarra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16.02</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la mortadela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17.01</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Azúcar de caña o de remolacha y sacarosa químicamente pura, en estado sólido, excepto la de la subpartida 17.01.13.00.00</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17.03</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Melaza procedente de la extracción o del refinado de la azúcar.</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18.06.32.00.90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Chocolate de mesa.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19.02.11.00.00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Pastas alimenticias sin cocer, rellenar ni preparar de otra forma que contengan huevo.</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19.02.19.00.00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Las demás pastas alimenticias sin cocer, rellenar, ni preparar de otra forma.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19.05</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555916" w:rsidP="00D1040F">
                  <w:pPr>
                    <w:pStyle w:val="NormalWeb"/>
                    <w:spacing w:before="0" w:beforeAutospacing="0" w:after="0" w:afterAutospacing="0"/>
                    <w:jc w:val="both"/>
                    <w:rPr>
                      <w:rFonts w:ascii="Cambria" w:hAnsi="Cambria" w:cstheme="minorHAnsi"/>
                      <w:sz w:val="16"/>
                      <w:szCs w:val="16"/>
                    </w:rPr>
                  </w:pPr>
                  <w:r w:rsidRPr="00555916">
                    <w:rPr>
                      <w:rFonts w:ascii="Cambria" w:hAnsi="Cambria" w:cstheme="minorHAnsi"/>
                      <w:sz w:val="16"/>
                      <w:szCs w:val="16"/>
                    </w:rPr>
                    <w:t>Únicamente</w:t>
                  </w:r>
                  <w:r>
                    <w:rPr>
                      <w:rFonts w:ascii="Cambria" w:hAnsi="Cambria" w:cstheme="minorHAnsi"/>
                      <w:sz w:val="16"/>
                      <w:szCs w:val="16"/>
                    </w:rPr>
                    <w:t xml:space="preserve"> </w:t>
                  </w:r>
                  <w:r w:rsidR="00D1040F" w:rsidRPr="00DB47D4">
                    <w:rPr>
                      <w:rFonts w:ascii="Cambria" w:hAnsi="Cambria" w:cstheme="minorHAnsi"/>
                      <w:sz w:val="16"/>
                      <w:szCs w:val="16"/>
                    </w:rPr>
                    <w:t>Los productos de panadería a base de sagú, yuca y achira.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21.01.11.00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Extractos, esencias y concentrados de café.</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21.06.90.61.00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Preparaciones edulcorantes a base de estevia y otros de origen natural.</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21.06.90.69.00</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Preparaciones edulcorantes a base de sustancias sintéticas o </w:t>
                  </w:r>
                  <w:proofErr w:type="spellStart"/>
                  <w:r w:rsidRPr="00DB47D4">
                    <w:rPr>
                      <w:rFonts w:ascii="Cambria" w:hAnsi="Cambria" w:cstheme="minorHAnsi"/>
                      <w:sz w:val="16"/>
                      <w:szCs w:val="16"/>
                    </w:rPr>
                    <w:t>artificilaes</w:t>
                  </w:r>
                  <w:proofErr w:type="spellEnd"/>
                  <w:r w:rsidRPr="00DB47D4">
                    <w:rPr>
                      <w:rFonts w:ascii="Cambria" w:hAnsi="Cambria" w:cstheme="minorHAnsi"/>
                      <w:sz w:val="16"/>
                      <w:szCs w:val="16"/>
                    </w:rPr>
                    <w:t>.</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23.01</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Harina, polvo y pellets, de carne, despojos, pescados o de crustáceos, moluscos o demás invertebrados acuáticos, impropios para la alimentación humana; chicharrones.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23.02</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Salvados, moyuelos y demás residuos del cernido, de la molienda o de otros tratamientos de los cereales o de las leguminosas incluso en pellets.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23.03</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Residuos de la industria del almidón y residuos similares, pulpa de remolacha, bagazo de caña de azúcar y demás desperdicios de la industria azucarera, heces y desperdicios de cervecería o de destilería, incluso en “pellets”.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23.04</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del aceite desoja (soya), incluso molidos o en “pellets”.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23.05</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del aceite de maní (cacahuete, cacahuate), incluso molidos o en “pellets”.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23.06</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Tortas y demás residuos sólidos de la extracción de grasas o aceites vegetales, incluso molidos o en “pellets”, excepto los de las partidas 23.04 o 23.05.</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23.08</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Materias vegetales y desperdicios vegetales, residuos y subproductos vegetales, incluso en “pellets”, de los tipos utilizados para la alimentación de los animales, no expresados ni comprendidos en otra parte.</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23.09</w:t>
                  </w:r>
                </w:p>
              </w:tc>
              <w:tc>
                <w:tcPr>
                  <w:tcW w:w="2962" w:type="dxa"/>
                  <w:tcBorders>
                    <w:top w:val="outset" w:sz="6" w:space="0" w:color="auto"/>
                    <w:left w:val="outset" w:sz="6" w:space="0" w:color="auto"/>
                    <w:bottom w:val="outset" w:sz="6" w:space="0" w:color="auto"/>
                    <w:right w:val="outset" w:sz="6" w:space="0" w:color="auto"/>
                  </w:tcBorders>
                  <w:vAlign w:val="center"/>
                  <w:hideMark/>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Preparaciones de los tipos utilizados para la alimentación de los animales.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44.03</w:t>
                  </w: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Madera en bruto, incluso descortezada, </w:t>
                  </w:r>
                  <w:proofErr w:type="spellStart"/>
                  <w:r w:rsidRPr="00DB47D4">
                    <w:rPr>
                      <w:rFonts w:ascii="Cambria" w:hAnsi="Cambria" w:cstheme="minorHAnsi"/>
                      <w:sz w:val="16"/>
                      <w:szCs w:val="16"/>
                    </w:rPr>
                    <w:t>desalburada</w:t>
                  </w:r>
                  <w:proofErr w:type="spellEnd"/>
                  <w:r w:rsidRPr="00DB47D4">
                    <w:rPr>
                      <w:rFonts w:ascii="Cambria" w:hAnsi="Cambria" w:cstheme="minorHAnsi"/>
                      <w:sz w:val="16"/>
                      <w:szCs w:val="16"/>
                    </w:rPr>
                    <w:t xml:space="preserve"> o escuadrada</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52.01</w:t>
                  </w: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Algodón sin cardar ni peinar</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73.11.00.10.00</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Recipientes para gas comprimido o licuado, de fundición, hierro o acero, sin soldadura, componentes del plan de gas vehicular</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r>
            <w:tr w:rsidR="00D1040F" w:rsidRPr="00DB47D4" w:rsidTr="00603453">
              <w:trPr>
                <w:trHeight w:val="2403"/>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82.01</w:t>
                  </w: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Layas, palas, azadas, picos, binaderas, horcas de labranza, rastrillos y raederas; hachas, hocinos y herramientas similares con filo; tijeras de podar de cualquier tipo; hoces y guadañas, cuchillos para heno o para paja, cizallas para setos, cuñas y demás.</w:t>
                  </w:r>
                </w:p>
              </w:tc>
            </w:tr>
            <w:tr w:rsidR="00D1040F"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82.08.40.00.00</w:t>
                  </w: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Cuchillas y hojas cortantes para máquinas agrícolas, hortícolas o forestales</w:t>
                  </w:r>
                </w:p>
              </w:tc>
            </w:tr>
            <w:tr w:rsidR="00D1040F" w:rsidRPr="00DB47D4" w:rsidTr="00603453">
              <w:trPr>
                <w:trHeight w:val="498"/>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84.09.91.60.00</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c>
                <w:tcPr>
                  <w:tcW w:w="2962" w:type="dxa"/>
                  <w:tcBorders>
                    <w:top w:val="outset" w:sz="6" w:space="0" w:color="auto"/>
                    <w:left w:val="outset" w:sz="6" w:space="0" w:color="auto"/>
                    <w:bottom w:val="outset" w:sz="6" w:space="0" w:color="auto"/>
                    <w:right w:val="outset" w:sz="6" w:space="0" w:color="auto"/>
                  </w:tcBorders>
                  <w:vAlign w:val="center"/>
                </w:tcPr>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Carburadores y sus partes (repuestos) componentes del plan de gas vehicular.</w:t>
                  </w:r>
                </w:p>
                <w:p w:rsidR="00D1040F" w:rsidRPr="00DB47D4" w:rsidRDefault="00D1040F" w:rsidP="00D1040F">
                  <w:pPr>
                    <w:pStyle w:val="NormalWeb"/>
                    <w:spacing w:before="0" w:beforeAutospacing="0" w:after="0" w:afterAutospacing="0"/>
                    <w:jc w:val="both"/>
                    <w:rPr>
                      <w:rFonts w:ascii="Cambria" w:hAnsi="Cambria" w:cstheme="minorHAnsi"/>
                      <w:sz w:val="16"/>
                      <w:szCs w:val="16"/>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603453" w:rsidRDefault="00603453" w:rsidP="00603453">
                  <w:pPr>
                    <w:jc w:val="both"/>
                    <w:rPr>
                      <w:rFonts w:ascii="Cambria" w:hAnsi="Cambria" w:cstheme="minorHAnsi"/>
                      <w:sz w:val="16"/>
                      <w:szCs w:val="16"/>
                      <w:lang w:eastAsia="es-CO"/>
                    </w:rPr>
                  </w:pPr>
                  <w:r w:rsidRPr="00603453">
                    <w:rPr>
                      <w:rFonts w:ascii="Cambria" w:hAnsi="Cambria" w:cstheme="minorHAnsi"/>
                      <w:sz w:val="16"/>
                      <w:szCs w:val="16"/>
                      <w:lang w:eastAsia="es-CO"/>
                    </w:rPr>
                    <w:t>84.09.91.91.00</w:t>
                  </w:r>
                </w:p>
                <w:p w:rsidR="00603453" w:rsidRPr="00603453" w:rsidRDefault="00603453" w:rsidP="00603453">
                  <w:pPr>
                    <w:pStyle w:val="NormalWeb"/>
                    <w:spacing w:before="0" w:beforeAutospacing="0" w:after="0" w:afterAutospacing="0"/>
                    <w:jc w:val="both"/>
                    <w:rPr>
                      <w:rFonts w:ascii="Cambria" w:hAnsi="Cambria" w:cstheme="minorHAnsi"/>
                      <w:sz w:val="16"/>
                      <w:szCs w:val="16"/>
                    </w:rPr>
                  </w:pP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603453" w:rsidRDefault="00603453" w:rsidP="00603453">
                  <w:pPr>
                    <w:pStyle w:val="Default"/>
                    <w:jc w:val="both"/>
                    <w:rPr>
                      <w:rFonts w:ascii="Cambria" w:hAnsi="Cambria"/>
                      <w:sz w:val="16"/>
                      <w:szCs w:val="16"/>
                    </w:rPr>
                  </w:pPr>
                  <w:r w:rsidRPr="00603453">
                    <w:rPr>
                      <w:rFonts w:ascii="Cambria" w:hAnsi="Cambria"/>
                      <w:sz w:val="16"/>
                      <w:szCs w:val="16"/>
                    </w:rPr>
                    <w:t xml:space="preserve">Equipo para la conversión del sistema de alimentación de combustible para vehículos automóviles a uso dual </w:t>
                  </w:r>
                  <w:r w:rsidRPr="00603453">
                    <w:rPr>
                      <w:rFonts w:ascii="Cambria" w:hAnsi="Cambria"/>
                      <w:sz w:val="16"/>
                      <w:szCs w:val="16"/>
                    </w:rPr>
                    <w:lastRenderedPageBreak/>
                    <w:t xml:space="preserve">(gas/gasolina) componentes del plan de gas vehicular. </w:t>
                  </w:r>
                </w:p>
                <w:p w:rsidR="00603453" w:rsidRPr="00603453" w:rsidRDefault="00603453" w:rsidP="00603453">
                  <w:pPr>
                    <w:jc w:val="both"/>
                    <w:rPr>
                      <w:rFonts w:ascii="Cambria" w:hAnsi="Cambria" w:cstheme="minorHAnsi"/>
                      <w:sz w:val="16"/>
                      <w:szCs w:val="16"/>
                      <w:lang w:val="es-MX"/>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lastRenderedPageBreak/>
                    <w:t>84.09.91.99.00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Repuestos para Kits del plan de gas </w:t>
                  </w:r>
                  <w:proofErr w:type="spellStart"/>
                  <w:r w:rsidRPr="00DB47D4">
                    <w:rPr>
                      <w:rFonts w:ascii="Cambria" w:hAnsi="Cambria" w:cstheme="minorHAnsi"/>
                      <w:sz w:val="16"/>
                      <w:szCs w:val="16"/>
                    </w:rPr>
                    <w:t>vehícular</w:t>
                  </w:r>
                  <w:proofErr w:type="spellEnd"/>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84.14.80.22.00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Compresores componentes del plan de gas vehicular.</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84.14.90.10.00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Partes de compresores (repuestos) componentes del plan de gas vehicular.</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84.19.31.00.00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Secadores para productos agrícolas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84.19.50.10.00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xml:space="preserve">Intercambiadores de calor; </w:t>
                  </w:r>
                  <w:proofErr w:type="spellStart"/>
                  <w:r w:rsidRPr="00DB47D4">
                    <w:rPr>
                      <w:rFonts w:ascii="Cambria" w:hAnsi="Cambria" w:cstheme="minorHAnsi"/>
                      <w:sz w:val="16"/>
                      <w:szCs w:val="16"/>
                    </w:rPr>
                    <w:t>pasterizadores</w:t>
                  </w:r>
                  <w:proofErr w:type="spellEnd"/>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84.24.82.90.00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Fumigadoras para uso agrícola</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84.29.51.00.00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Cargador Frontal</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84.32</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Máquinas, aparatos y artefactos agrícolas, hortícolas o silvícolas, para la preparación o el trabajo del suelo o para el cultivo.</w:t>
                  </w:r>
                  <w:r w:rsidRPr="00DB47D4">
                    <w:rPr>
                      <w:rFonts w:ascii="Cambria" w:hAnsi="Cambria" w:cstheme="minorHAnsi"/>
                      <w:sz w:val="16"/>
                      <w:szCs w:val="16"/>
                    </w:rPr>
                    <w:br/>
                    <w:t> </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84.34</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Únicamente máquinas de ordeñar y sus partes.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84.36.21.00.00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Incubadoras y criadoras.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84.36.29</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Las demás máquinas y aparatos para la avicultura.</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84.36.91.00.00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Partes de máquinas o aparatos para la avicultura.</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84.38.80.10.00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proofErr w:type="spellStart"/>
                  <w:r w:rsidRPr="00DB47D4">
                    <w:rPr>
                      <w:rFonts w:ascii="Cambria" w:hAnsi="Cambria" w:cstheme="minorHAnsi"/>
                      <w:sz w:val="16"/>
                      <w:szCs w:val="16"/>
                      <w:lang w:eastAsia="es-CO"/>
                    </w:rPr>
                    <w:t>Descarilladoras</w:t>
                  </w:r>
                  <w:proofErr w:type="spellEnd"/>
                  <w:r w:rsidRPr="00DB47D4">
                    <w:rPr>
                      <w:rFonts w:ascii="Cambria" w:hAnsi="Cambria" w:cstheme="minorHAnsi"/>
                      <w:sz w:val="16"/>
                      <w:szCs w:val="16"/>
                      <w:lang w:eastAsia="es-CO"/>
                    </w:rPr>
                    <w:t xml:space="preserve"> y despulpadoras de café</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85.01</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Motores y generadores eléctricos para uso en vehículos eléctricos, híbridos e híbridos enchufables, motocicletas eléctricas y bicicletas eléctricas. </w:t>
                  </w: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85.07</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Acumuladores eléctricos, incluidos sus separadores, aunque sean cuadrados o rectangulares para uso en vehículos eléctricos,  motocicletas eléctricas y bicicletas eléctricas.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85.04</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Cargadores de baterías de vehículos eléctricos,  motocicletas eléctricas y bicicletas eléctricas incluso aquéllos que vienen incluidos en los vehículos, los de carga rápida (electrolineras) y los de recarga domiciliaria.</w:t>
                  </w: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lastRenderedPageBreak/>
                    <w:t>85.04</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Inversores de carga eléctrica para uso en vehículos eléctricos, </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87.02</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 xml:space="preserve">Vehículos automóviles eléctricos, para transporte de 10 o más personas, incluido el conductor, </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87.03</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B83C69" w:rsidRDefault="00B83C69" w:rsidP="00603453">
                  <w:pPr>
                    <w:jc w:val="both"/>
                    <w:rPr>
                      <w:rFonts w:ascii="Cambria" w:hAnsi="Cambria" w:cstheme="minorHAnsi"/>
                      <w:sz w:val="16"/>
                      <w:szCs w:val="16"/>
                      <w:lang w:eastAsia="es-CO"/>
                    </w:rPr>
                  </w:pPr>
                  <w:r w:rsidRPr="00B83C69">
                    <w:rPr>
                      <w:rFonts w:ascii="Cambria" w:hAnsi="Cambria"/>
                      <w:color w:val="343536"/>
                      <w:spacing w:val="2"/>
                      <w:sz w:val="16"/>
                      <w:szCs w:val="16"/>
                      <w:shd w:val="clear" w:color="auto" w:fill="FFFFFF"/>
                    </w:rPr>
                    <w:t xml:space="preserve">Vehículos eléctricos, concebidos principalmente para el transporte de personas (excepto la partida 87.02), incluidos los vehículos de tipo familiar ("break" o </w:t>
                  </w:r>
                  <w:proofErr w:type="spellStart"/>
                  <w:r w:rsidRPr="00B83C69">
                    <w:rPr>
                      <w:rFonts w:ascii="Cambria" w:hAnsi="Cambria"/>
                      <w:color w:val="343536"/>
                      <w:spacing w:val="2"/>
                      <w:sz w:val="16"/>
                      <w:szCs w:val="16"/>
                      <w:shd w:val="clear" w:color="auto" w:fill="FFFFFF"/>
                    </w:rPr>
                    <w:t>station</w:t>
                  </w:r>
                  <w:proofErr w:type="spellEnd"/>
                  <w:r w:rsidRPr="00B83C69">
                    <w:rPr>
                      <w:rFonts w:ascii="Cambria" w:hAnsi="Cambria"/>
                      <w:color w:val="343536"/>
                      <w:spacing w:val="2"/>
                      <w:sz w:val="16"/>
                      <w:szCs w:val="16"/>
                      <w:shd w:val="clear" w:color="auto" w:fill="FFFFFF"/>
                    </w:rPr>
                    <w:t xml:space="preserve"> </w:t>
                  </w:r>
                  <w:proofErr w:type="spellStart"/>
                  <w:r w:rsidRPr="00B83C69">
                    <w:rPr>
                      <w:rFonts w:ascii="Cambria" w:hAnsi="Cambria"/>
                      <w:color w:val="343536"/>
                      <w:spacing w:val="2"/>
                      <w:sz w:val="16"/>
                      <w:szCs w:val="16"/>
                      <w:shd w:val="clear" w:color="auto" w:fill="FFFFFF"/>
                    </w:rPr>
                    <w:t>wagon</w:t>
                  </w:r>
                  <w:proofErr w:type="spellEnd"/>
                  <w:r w:rsidRPr="00B83C69">
                    <w:rPr>
                      <w:rFonts w:ascii="Cambria" w:hAnsi="Cambria"/>
                      <w:color w:val="343536"/>
                      <w:spacing w:val="2"/>
                      <w:sz w:val="16"/>
                      <w:szCs w:val="16"/>
                      <w:shd w:val="clear" w:color="auto" w:fill="FFFFFF"/>
                    </w:rPr>
                    <w:t>) y los de carreras</w:t>
                  </w:r>
                  <w:r w:rsidRPr="00B83C69">
                    <w:rPr>
                      <w:rFonts w:ascii="Cambria" w:hAnsi="Cambria"/>
                      <w:strike/>
                      <w:color w:val="343536"/>
                      <w:spacing w:val="2"/>
                      <w:sz w:val="16"/>
                      <w:szCs w:val="16"/>
                      <w:shd w:val="clear" w:color="auto" w:fill="FFFFFF"/>
                    </w:rPr>
                    <w:t>.</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87.04</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Vehículos automóviles eléctricos, para el transporte de mercancías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87.05</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Vehículos automóviles eléctricos, para usos especiales excepto los concebidos principalmente para el transporte de personas o mercancías.</w:t>
                  </w: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87.06</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Chasis de vehículos automotores eléctricos de las partidas 87.02 y 87.03, únicamente para los de transporte público.</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pStyle w:val="NormalWeb"/>
                    <w:spacing w:before="0" w:beforeAutospacing="0" w:after="0" w:afterAutospacing="0"/>
                    <w:jc w:val="both"/>
                    <w:rPr>
                      <w:rFonts w:ascii="Cambria" w:hAnsi="Cambria" w:cstheme="minorHAnsi"/>
                      <w:sz w:val="16"/>
                      <w:szCs w:val="16"/>
                    </w:rPr>
                  </w:pPr>
                  <w:r w:rsidRPr="00DB47D4">
                    <w:rPr>
                      <w:rFonts w:ascii="Cambria" w:hAnsi="Cambria" w:cstheme="minorHAnsi"/>
                      <w:sz w:val="16"/>
                      <w:szCs w:val="16"/>
                    </w:rPr>
                    <w:t> </w:t>
                  </w:r>
                </w:p>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87.07</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rPr>
                    <w:t>Carrocerías de vehículos automotores eléctricos de las partidas 87.02 y 87.03, incluidas las cabinas, únicamente para los de transporte público.</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87.11</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Motocicletas eléctricas (incluidos los ciclomotores) cuyo valor exceda de 50 UVT</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87.12</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outlineLvl w:val="1"/>
                    <w:rPr>
                      <w:rFonts w:ascii="Cambria" w:hAnsi="Cambria" w:cs="Arial"/>
                      <w:bCs/>
                      <w:sz w:val="16"/>
                      <w:szCs w:val="16"/>
                      <w:lang w:val="es-ES"/>
                    </w:rPr>
                  </w:pPr>
                  <w:r w:rsidRPr="00DB47D4">
                    <w:rPr>
                      <w:rFonts w:ascii="Cambria" w:hAnsi="Cambria" w:cs="Arial"/>
                      <w:bCs/>
                      <w:color w:val="000000" w:themeColor="text1"/>
                      <w:sz w:val="16"/>
                      <w:szCs w:val="16"/>
                    </w:rPr>
                    <w:t>Bicicletas</w:t>
                  </w:r>
                  <w:r w:rsidRPr="00DB47D4">
                    <w:rPr>
                      <w:rFonts w:ascii="Cambria" w:hAnsi="Cambria" w:cs="Arial"/>
                      <w:bCs/>
                      <w:sz w:val="16"/>
                      <w:szCs w:val="16"/>
                    </w:rPr>
                    <w:t>, y Bicicletas eléctricas (incluidos los triciclos de reparto) cuyo valor exceda de 50 UVT.</w:t>
                  </w:r>
                </w:p>
                <w:p w:rsidR="00603453" w:rsidRPr="00DB47D4" w:rsidRDefault="00603453" w:rsidP="00603453">
                  <w:pPr>
                    <w:jc w:val="both"/>
                    <w:rPr>
                      <w:rFonts w:ascii="Cambria" w:hAnsi="Cambria" w:cstheme="minorHAnsi"/>
                      <w:sz w:val="16"/>
                      <w:szCs w:val="16"/>
                      <w:lang w:eastAsia="es-CO"/>
                    </w:rPr>
                  </w:pPr>
                </w:p>
                <w:p w:rsidR="00603453" w:rsidRPr="00DB47D4" w:rsidRDefault="00603453" w:rsidP="00603453">
                  <w:pPr>
                    <w:jc w:val="both"/>
                    <w:rPr>
                      <w:rFonts w:ascii="Cambria" w:hAnsi="Cambria" w:cstheme="minorHAnsi"/>
                      <w:sz w:val="16"/>
                      <w:szCs w:val="16"/>
                      <w:lang w:eastAsia="es-CO"/>
                    </w:rPr>
                  </w:pP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89.01</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Arial"/>
                      <w:bCs/>
                      <w:sz w:val="16"/>
                      <w:szCs w:val="16"/>
                    </w:rPr>
                  </w:pPr>
                  <w:r w:rsidRPr="00DB47D4">
                    <w:rPr>
                      <w:rFonts w:ascii="Cambria" w:hAnsi="Cambria" w:cs="Arial"/>
                      <w:bCs/>
                      <w:sz w:val="16"/>
                      <w:szCs w:val="16"/>
                    </w:rPr>
                    <w:t>Transbordadores, cargueros, gabarras (barcazas) y barcos similares para transporte de personas o mercancías.</w:t>
                  </w: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89.04</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Remolcadores y barcos empujadores.</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89.06.90</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Arial"/>
                      <w:bCs/>
                      <w:sz w:val="16"/>
                      <w:szCs w:val="16"/>
                    </w:rPr>
                    <w:t>Los demás barcos y barcos de salvamento excepto los de remo y los de guerra.</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90.25.90.00.00</w:t>
                  </w:r>
                </w:p>
                <w:p w:rsidR="00603453" w:rsidRPr="00DB47D4" w:rsidRDefault="00603453" w:rsidP="00603453">
                  <w:pPr>
                    <w:jc w:val="both"/>
                    <w:rPr>
                      <w:rFonts w:ascii="Cambria" w:hAnsi="Cambria" w:cstheme="minorHAnsi"/>
                      <w:sz w:val="16"/>
                      <w:szCs w:val="16"/>
                      <w:lang w:eastAsia="es-CO"/>
                    </w:rPr>
                  </w:pP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Partes y accesorios surtidores (repuestos), componentes del plan de gas vehicular.</w:t>
                  </w:r>
                </w:p>
                <w:p w:rsidR="00603453" w:rsidRPr="00DB47D4" w:rsidRDefault="00603453" w:rsidP="00603453">
                  <w:pPr>
                    <w:jc w:val="both"/>
                    <w:rPr>
                      <w:rFonts w:ascii="Cambria" w:hAnsi="Cambria" w:cstheme="minorHAnsi"/>
                      <w:sz w:val="16"/>
                      <w:szCs w:val="16"/>
                      <w:lang w:eastAsia="es-CO"/>
                    </w:rPr>
                  </w:pP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lastRenderedPageBreak/>
                    <w:t>90.31</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Unidades de control para motores eléctricos de uso en vehículos eléctricos, </w:t>
                  </w:r>
                </w:p>
              </w:tc>
            </w:tr>
            <w:tr w:rsidR="00603453" w:rsidRPr="00DB47D4" w:rsidTr="00603453">
              <w:trPr>
                <w:tblCellSpacing w:w="0" w:type="dxa"/>
              </w:trPr>
              <w:tc>
                <w:tcPr>
                  <w:tcW w:w="1625"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90.32</w:t>
                  </w:r>
                </w:p>
              </w:tc>
              <w:tc>
                <w:tcPr>
                  <w:tcW w:w="2962" w:type="dxa"/>
                  <w:tcBorders>
                    <w:top w:val="outset" w:sz="6" w:space="0" w:color="auto"/>
                    <w:left w:val="outset" w:sz="6" w:space="0" w:color="auto"/>
                    <w:bottom w:val="outset" w:sz="6" w:space="0" w:color="auto"/>
                    <w:right w:val="outset" w:sz="6" w:space="0" w:color="auto"/>
                  </w:tcBorders>
                  <w:vAlign w:val="center"/>
                </w:tcPr>
                <w:p w:rsidR="00603453" w:rsidRPr="00DB47D4" w:rsidRDefault="00603453" w:rsidP="00603453">
                  <w:pPr>
                    <w:jc w:val="both"/>
                    <w:rPr>
                      <w:rFonts w:ascii="Cambria" w:hAnsi="Cambria" w:cstheme="minorHAnsi"/>
                      <w:sz w:val="16"/>
                      <w:szCs w:val="16"/>
                      <w:lang w:eastAsia="es-CO"/>
                    </w:rPr>
                  </w:pPr>
                  <w:r w:rsidRPr="00DB47D4">
                    <w:rPr>
                      <w:rFonts w:ascii="Cambria" w:hAnsi="Cambria" w:cstheme="minorHAnsi"/>
                      <w:sz w:val="16"/>
                      <w:szCs w:val="16"/>
                      <w:lang w:eastAsia="es-CO"/>
                    </w:rPr>
                    <w:t xml:space="preserve">Unidades de control de las baterías y del sistema de enfriamiento de las baterías para uso en vehículos eléctricos, </w:t>
                  </w:r>
                </w:p>
              </w:tc>
            </w:tr>
          </w:tbl>
          <w:p w:rsidR="00D1040F" w:rsidRPr="00DB47D4" w:rsidRDefault="00D1040F" w:rsidP="00D1040F">
            <w:pPr>
              <w:jc w:val="both"/>
              <w:rPr>
                <w:rFonts w:ascii="Cambria" w:hAnsi="Cambria" w:cstheme="minorHAnsi"/>
                <w:sz w:val="16"/>
                <w:szCs w:val="16"/>
                <w:lang w:eastAsia="es-CO"/>
              </w:rPr>
            </w:pPr>
            <w:r w:rsidRPr="00DB47D4">
              <w:rPr>
                <w:rFonts w:ascii="Cambria" w:hAnsi="Cambria" w:cstheme="minorHAnsi"/>
                <w:sz w:val="16"/>
                <w:szCs w:val="16"/>
                <w:lang w:eastAsia="es-CO"/>
              </w:rPr>
              <w:t> </w:t>
            </w:r>
          </w:p>
          <w:p w:rsidR="00D1040F" w:rsidRPr="00DB47D4" w:rsidRDefault="00D1040F" w:rsidP="00D1040F">
            <w:pPr>
              <w:pStyle w:val="Default"/>
              <w:jc w:val="both"/>
              <w:rPr>
                <w:rFonts w:ascii="Cambria" w:eastAsia="Times New Roman" w:hAnsi="Cambria" w:cstheme="minorHAnsi"/>
                <w:color w:val="auto"/>
                <w:sz w:val="16"/>
                <w:szCs w:val="16"/>
                <w:lang w:val="es-ES_tradnl" w:eastAsia="es-CO"/>
              </w:rPr>
            </w:pPr>
            <w:r w:rsidRPr="00DB47D4">
              <w:rPr>
                <w:rFonts w:ascii="Cambria" w:eastAsia="Times New Roman" w:hAnsi="Cambria" w:cstheme="minorHAnsi"/>
                <w:color w:val="auto"/>
                <w:sz w:val="16"/>
                <w:szCs w:val="16"/>
                <w:lang w:val="es-ES_tradnl" w:eastAsia="es-CO"/>
              </w:rPr>
              <w:t xml:space="preserve">Adicionalmente: </w:t>
            </w:r>
          </w:p>
          <w:p w:rsidR="00D1040F" w:rsidRPr="00DB47D4" w:rsidRDefault="00D1040F" w:rsidP="00D1040F">
            <w:pPr>
              <w:pStyle w:val="Default"/>
              <w:jc w:val="both"/>
              <w:rPr>
                <w:rFonts w:ascii="Cambria" w:eastAsia="Times New Roman" w:hAnsi="Cambria" w:cstheme="minorHAnsi"/>
                <w:color w:val="auto"/>
                <w:sz w:val="16"/>
                <w:szCs w:val="16"/>
                <w:lang w:val="es-ES_tradnl" w:eastAsia="es-CO"/>
              </w:rPr>
            </w:pPr>
            <w:r w:rsidRPr="00DB47D4">
              <w:rPr>
                <w:rFonts w:ascii="Cambria" w:eastAsia="Times New Roman" w:hAnsi="Cambria" w:cstheme="minorHAnsi"/>
                <w:color w:val="auto"/>
                <w:sz w:val="16"/>
                <w:szCs w:val="16"/>
                <w:lang w:val="es-ES_tradnl" w:eastAsia="es-CO"/>
              </w:rPr>
              <w:t>1.</w:t>
            </w:r>
            <w:r w:rsidR="00603453">
              <w:rPr>
                <w:sz w:val="20"/>
                <w:szCs w:val="20"/>
              </w:rPr>
              <w:t xml:space="preserve"> </w:t>
            </w:r>
            <w:r w:rsidR="00603453" w:rsidRPr="00603453">
              <w:rPr>
                <w:rFonts w:ascii="Cambria" w:eastAsia="Times New Roman" w:hAnsi="Cambria" w:cstheme="minorHAnsi"/>
                <w:color w:val="auto"/>
                <w:sz w:val="16"/>
                <w:szCs w:val="16"/>
                <w:highlight w:val="yellow"/>
                <w:lang w:val="es-ES_tradnl" w:eastAsia="es-CO"/>
              </w:rPr>
              <w:t xml:space="preserve">Las neveras nuevas para sustitución, sujetas al Reglamento Técnico de Etiquetado (RETIQ), clasificadas en los rangos de energía A, B o C, de acuerdo a la Resolución 41012 de 2015 del Ministerio de Minas y Energía, o la que la modifique o sustituya, siempre y cuando: i) su precio sea igual o inferior a 30 UVT; </w:t>
            </w:r>
            <w:proofErr w:type="spellStart"/>
            <w:r w:rsidR="00603453" w:rsidRPr="00603453">
              <w:rPr>
                <w:rFonts w:ascii="Cambria" w:eastAsia="Times New Roman" w:hAnsi="Cambria" w:cstheme="minorHAnsi"/>
                <w:color w:val="auto"/>
                <w:sz w:val="16"/>
                <w:szCs w:val="16"/>
                <w:highlight w:val="yellow"/>
                <w:lang w:val="es-ES_tradnl" w:eastAsia="es-CO"/>
              </w:rPr>
              <w:t>ii</w:t>
            </w:r>
            <w:proofErr w:type="spellEnd"/>
            <w:r w:rsidR="00603453" w:rsidRPr="00603453">
              <w:rPr>
                <w:rFonts w:ascii="Cambria" w:eastAsia="Times New Roman" w:hAnsi="Cambria" w:cstheme="minorHAnsi"/>
                <w:color w:val="auto"/>
                <w:sz w:val="16"/>
                <w:szCs w:val="16"/>
                <w:highlight w:val="yellow"/>
                <w:lang w:val="es-ES_tradnl" w:eastAsia="es-CO"/>
              </w:rPr>
              <w:t xml:space="preserve">) se entregue una nevera usada al momento de la compra; y </w:t>
            </w:r>
            <w:proofErr w:type="spellStart"/>
            <w:r w:rsidR="00603453" w:rsidRPr="00603453">
              <w:rPr>
                <w:rFonts w:ascii="Cambria" w:eastAsia="Times New Roman" w:hAnsi="Cambria" w:cstheme="minorHAnsi"/>
                <w:color w:val="auto"/>
                <w:sz w:val="16"/>
                <w:szCs w:val="16"/>
                <w:highlight w:val="yellow"/>
                <w:lang w:val="es-ES_tradnl" w:eastAsia="es-CO"/>
              </w:rPr>
              <w:t>iii</w:t>
            </w:r>
            <w:proofErr w:type="spellEnd"/>
            <w:r w:rsidR="00603453" w:rsidRPr="00603453">
              <w:rPr>
                <w:rFonts w:ascii="Cambria" w:eastAsia="Times New Roman" w:hAnsi="Cambria" w:cstheme="minorHAnsi"/>
                <w:color w:val="auto"/>
                <w:sz w:val="16"/>
                <w:szCs w:val="16"/>
                <w:highlight w:val="yellow"/>
                <w:lang w:val="es-ES_tradnl" w:eastAsia="es-CO"/>
              </w:rPr>
              <w:t>) el comprador pertenezca a un hogar de estrato 1, 2 o 3. El Gobierno nacional reglamentará la materia para efectos de establecer el mecanismo para garantizar la aplicación de esta tarifa únicamente sobre los bienes objeto de sustitución.</w:t>
            </w:r>
          </w:p>
          <w:p w:rsidR="00D1040F" w:rsidRPr="00DB47D4" w:rsidRDefault="00D1040F" w:rsidP="00D1040F">
            <w:pPr>
              <w:jc w:val="both"/>
              <w:outlineLvl w:val="1"/>
              <w:rPr>
                <w:rFonts w:ascii="Cambria" w:hAnsi="Cambria" w:cstheme="minorHAnsi"/>
                <w:sz w:val="16"/>
                <w:szCs w:val="16"/>
                <w:lang w:eastAsia="es-CO"/>
              </w:rPr>
            </w:pPr>
          </w:p>
          <w:p w:rsidR="00D1040F" w:rsidRPr="00DB47D4" w:rsidRDefault="00D1040F" w:rsidP="00D1040F">
            <w:pPr>
              <w:jc w:val="both"/>
              <w:outlineLvl w:val="1"/>
              <w:rPr>
                <w:rFonts w:ascii="Cambria" w:hAnsi="Cambria" w:cstheme="minorHAnsi"/>
                <w:sz w:val="16"/>
                <w:szCs w:val="16"/>
                <w:lang w:eastAsia="es-CO"/>
              </w:rPr>
            </w:pPr>
          </w:p>
          <w:p w:rsidR="00D1040F" w:rsidRPr="00DB47D4" w:rsidRDefault="00D1040F" w:rsidP="00776880">
            <w:pPr>
              <w:jc w:val="both"/>
              <w:outlineLvl w:val="1"/>
              <w:rPr>
                <w:rFonts w:ascii="Cambria" w:hAnsi="Cambria"/>
                <w:sz w:val="20"/>
                <w:szCs w:val="20"/>
                <w:lang w:val="es-ES"/>
              </w:rPr>
            </w:pPr>
          </w:p>
        </w:tc>
      </w:tr>
      <w:tr w:rsidR="00325B14" w:rsidTr="0059378C">
        <w:tc>
          <w:tcPr>
            <w:tcW w:w="4958" w:type="dxa"/>
          </w:tcPr>
          <w:p w:rsidR="00325B14" w:rsidRPr="00325B14" w:rsidRDefault="00325B14" w:rsidP="00325B14">
            <w:pPr>
              <w:jc w:val="both"/>
              <w:rPr>
                <w:rFonts w:ascii="Cambria" w:hAnsi="Cambria"/>
                <w:sz w:val="16"/>
                <w:szCs w:val="16"/>
              </w:rPr>
            </w:pPr>
            <w:r w:rsidRPr="00325B14">
              <w:rPr>
                <w:rFonts w:ascii="Cambria" w:hAnsi="Cambria"/>
                <w:b/>
                <w:bCs/>
                <w:color w:val="000000" w:themeColor="text1"/>
                <w:sz w:val="16"/>
                <w:szCs w:val="16"/>
              </w:rPr>
              <w:lastRenderedPageBreak/>
              <w:t>Artículo 476. Servicios excluidos del impuesto sobre las ventas -</w:t>
            </w:r>
            <w:proofErr w:type="spellStart"/>
            <w:r w:rsidRPr="00325B14">
              <w:rPr>
                <w:rFonts w:ascii="Cambria" w:hAnsi="Cambria"/>
                <w:b/>
                <w:bCs/>
                <w:color w:val="000000" w:themeColor="text1"/>
                <w:sz w:val="16"/>
                <w:szCs w:val="16"/>
              </w:rPr>
              <w:t>iva</w:t>
            </w:r>
            <w:proofErr w:type="spellEnd"/>
            <w:r w:rsidRPr="00325B14">
              <w:rPr>
                <w:rFonts w:ascii="Cambria" w:hAnsi="Cambria"/>
                <w:b/>
                <w:bCs/>
                <w:color w:val="BE9E55"/>
                <w:sz w:val="16"/>
                <w:szCs w:val="16"/>
              </w:rPr>
              <w:t xml:space="preserve">- </w:t>
            </w:r>
            <w:r w:rsidRPr="00325B14">
              <w:rPr>
                <w:rFonts w:ascii="Cambria" w:hAnsi="Cambria"/>
                <w:sz w:val="16"/>
                <w:szCs w:val="16"/>
              </w:rPr>
              <w:t>Se exceptúan del impuesto los siguientes servicios y los bienes relacionados explícitamente a continuación:</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 Los servicios médicos, odontológicos, hospitalarios, clínicos y de laboratorio, para la salud humana.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 Los servicios de administración de fondos del Estado y los servicios vinculados con la seguridad social de acuerdo con lo previsto en la Ley </w:t>
            </w:r>
            <w:hyperlink r:id="rId73" w:anchor="INICIO" w:history="1">
              <w:r w:rsidRPr="00325B14">
                <w:rPr>
                  <w:rStyle w:val="Hipervnculo"/>
                  <w:rFonts w:ascii="Cambria" w:hAnsi="Cambria" w:cs="Arial"/>
                  <w:color w:val="0073FF"/>
                  <w:sz w:val="16"/>
                  <w:szCs w:val="16"/>
                </w:rPr>
                <w:t>100</w:t>
              </w:r>
            </w:hyperlink>
            <w:r w:rsidRPr="00325B14">
              <w:rPr>
                <w:rFonts w:ascii="Cambria" w:hAnsi="Cambria"/>
                <w:sz w:val="16"/>
                <w:szCs w:val="16"/>
              </w:rPr>
              <w:t> de 1993.</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 Los planes obligatorios de salud del sistema de seguridad social en salud expedidos por entidades autorizadas por la Superintendencia Nacional de Salud, los servicios prestados por las administradoras dentro del régimen de ahorro individual con solidaridad y de prima media con prestación definida, los servicios prestados por administradoras de riesgos laborales y los servicios de seguros y reaseguros para invalidez y sobrevivientes, contemplados dentro del régimen de ahorro individual con solidaridad a que se refiere el artículo </w:t>
            </w:r>
            <w:hyperlink r:id="rId74" w:anchor="135" w:history="1">
              <w:r w:rsidRPr="00325B14">
                <w:rPr>
                  <w:rStyle w:val="Hipervnculo"/>
                  <w:rFonts w:ascii="Cambria" w:hAnsi="Cambria" w:cs="Arial"/>
                  <w:color w:val="0073FF"/>
                  <w:sz w:val="16"/>
                  <w:szCs w:val="16"/>
                </w:rPr>
                <w:t>135</w:t>
              </w:r>
            </w:hyperlink>
            <w:r w:rsidRPr="00325B14">
              <w:rPr>
                <w:rFonts w:ascii="Cambria" w:hAnsi="Cambria"/>
                <w:sz w:val="16"/>
                <w:szCs w:val="16"/>
              </w:rPr>
              <w:t> de la Ley 100 de 1993 o las disposiciones que la modifiquen o sustituyan.</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4. Las comisiones por intermediación por la colocación de los planes de salud del sistema general de seguridad social en salud expedidos por las entidades autorizadas legalmente por la Superintendencia Nacional de Salud, que no estén sometidos al impuesto sobre las ventas (IVA).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5. Los servicios de educación prestados por establecimientos de educación preescolar, primaria, media e intermedia, superior y especial o no formal, reconocidos como tales por el Gobierno nacional, y los servicios de educación prestados por personas naturales a dichos establecimientos. Están excluidos igualmente los servicios prestados por los establecimientos de educación relativos a restaurantes, cafeterías y transporte, así como los que se presten en desarrollo de las Leyes </w:t>
            </w:r>
            <w:hyperlink r:id="rId75" w:anchor="INICIO" w:history="1">
              <w:r w:rsidRPr="00325B14">
                <w:rPr>
                  <w:rStyle w:val="Hipervnculo"/>
                  <w:rFonts w:ascii="Cambria" w:hAnsi="Cambria" w:cs="Arial"/>
                  <w:color w:val="0073FF"/>
                  <w:sz w:val="16"/>
                  <w:szCs w:val="16"/>
                </w:rPr>
                <w:t>30</w:t>
              </w:r>
            </w:hyperlink>
            <w:r w:rsidRPr="00325B14">
              <w:rPr>
                <w:rFonts w:ascii="Cambria" w:hAnsi="Cambria"/>
                <w:sz w:val="16"/>
                <w:szCs w:val="16"/>
              </w:rPr>
              <w:t> de 1992 y </w:t>
            </w:r>
            <w:hyperlink r:id="rId76" w:anchor="INICIO" w:history="1">
              <w:r w:rsidRPr="00325B14">
                <w:rPr>
                  <w:rStyle w:val="Hipervnculo"/>
                  <w:rFonts w:ascii="Cambria" w:hAnsi="Cambria" w:cs="Arial"/>
                  <w:color w:val="0073FF"/>
                  <w:sz w:val="16"/>
                  <w:szCs w:val="16"/>
                </w:rPr>
                <w:t>115</w:t>
              </w:r>
            </w:hyperlink>
            <w:r w:rsidRPr="00325B14">
              <w:rPr>
                <w:rFonts w:ascii="Cambria" w:hAnsi="Cambria"/>
                <w:sz w:val="16"/>
                <w:szCs w:val="16"/>
              </w:rPr>
              <w:t> de 1994, o las disposiciones que las modifiquen o sustituyan. Igualmente están excluidos los servicios de evaluación de la educación y de elaboración y aplicación de exámenes para la selección y promoción de personal, prestados por organismos o entidades de la administración pública.</w:t>
            </w:r>
          </w:p>
          <w:p w:rsid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6. Los servicios de educación virtual para el desarrollo de contenidos digitales, de acuerdo con la reglamentación expedida por el Ministerio de Tecnologías de la Información y las Comunicaciones, prestados en Colombia o en el exterior.</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7. Los servicios de conexión y acceso a internet de los usuarios residenciales del estrato 3.</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8. En el caso del servicio telefónico local, se excluyen del impuesto los primeros trescientos veinticinco (325) minutos mensuales del servicio telefónico local 'facturado a los usuarios de los estratos 1, 2 y 3 y el servicio telefónico prestado desde teléfonos públicos.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 xml:space="preserve">9. El servicio de transporte público, terrestre, fluvial y marítimo de personas en el territorio nacional, y el de transporte público o privado </w:t>
            </w:r>
            <w:r w:rsidRPr="00325B14">
              <w:rPr>
                <w:rFonts w:ascii="Cambria" w:hAnsi="Cambria"/>
                <w:sz w:val="16"/>
                <w:szCs w:val="16"/>
              </w:rPr>
              <w:lastRenderedPageBreak/>
              <w:t>nacional e internacional de carga marítimo, fluvial, terrestre y aéreo. Igualmente, se excluye el transporte de gas e hidrocarburos.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10. El transporte aéreo nacional de pasajeros con destino o procedencia de rutas nacionales donde no exista transporte terrestre organizado. Esta exclusión también aplica para el transporte aéreo turístico con destino o procedencia al departamento de La Guajira y los municipios de Nuquí, en el departamento de Chocó, Mompox en el departamento de Bolívar, Tolú, en el departamento de Sucre, Miraflores en el departamento del Guaviare y Puerto Carreño en el departamento del Vichada.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11. Los servicios públicos de energía. La energía y los servicios públicos de energía a base de gas u otros insumos.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12. El agua para la prestación del servicio público de acueducto y alcantarillado, los servicios públicos de acueducto y alcantarillado, los servicios de aseo público y los servicios públicos de recolección de basuras.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13. El gas para la prestación del servicio público de gas domiciliario y el servicio de gas domiciliario, ya sea conducido por tubería o distribuido en cilindros.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comunitarios.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15. El servicio de arrendamiento de inmuebles para vivienda y el arrendamiento de espacios para exposiciones y muestras artesanales nacionales, incluidos los eventos artísticos y culturales.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16. Los intereses y rendimientos financieros por operaciones de crédito, siempre que no formen parte de la base gravable señalada en el artículo </w:t>
            </w:r>
            <w:hyperlink r:id="rId77" w:anchor="447" w:history="1">
              <w:r w:rsidRPr="00325B14">
                <w:rPr>
                  <w:rStyle w:val="Hipervnculo"/>
                  <w:rFonts w:ascii="Cambria" w:hAnsi="Cambria" w:cs="Arial"/>
                  <w:color w:val="0073FF"/>
                  <w:sz w:val="16"/>
                  <w:szCs w:val="16"/>
                </w:rPr>
                <w:t>447</w:t>
              </w:r>
            </w:hyperlink>
            <w:r w:rsidRPr="00325B14">
              <w:rPr>
                <w:rFonts w:ascii="Cambria" w:hAnsi="Cambria"/>
                <w:sz w:val="16"/>
                <w:szCs w:val="16"/>
              </w:rPr>
              <w:t>, y el arrendamiento financiero (leasing).</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17. Los servicios de intermediación para el pago de incentivos o transferencias monetarias condicionadas en el marco de los programas sociales del Gobierno nacional.</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18. Las boletas de entrada a cine, a los eventos deportivos, culturales, incluidos los musicales y de recreación familiar. También se encuentran excluidos los servicios de que trata el artículo 6° de la Ley 1493 de 2011.</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19. Los servicios funerarios, los de cremación, inhumación y exhumación de cadáveres, alquiler y mantenimiento de tumbas y mausoleos.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highlight w:val="yellow"/>
              </w:rPr>
            </w:pPr>
            <w:r w:rsidRPr="00325B14">
              <w:rPr>
                <w:rFonts w:ascii="Cambria" w:hAnsi="Cambria"/>
                <w:sz w:val="16"/>
                <w:szCs w:val="16"/>
                <w:highlight w:val="yellow"/>
              </w:rPr>
              <w:t>20. Adquisición de licencias de software para el desarrollo comercial de contenidos digitales, de acuerdo con la reglamentación expedida por el Ministerio de Tecnologías de la Información y Comunicaciones.</w:t>
            </w:r>
          </w:p>
          <w:p w:rsidR="00325B14" w:rsidRPr="00325B14" w:rsidRDefault="00325B14" w:rsidP="00325B14">
            <w:pPr>
              <w:jc w:val="both"/>
              <w:rPr>
                <w:rFonts w:ascii="Cambria" w:hAnsi="Cambria"/>
                <w:sz w:val="16"/>
                <w:szCs w:val="16"/>
                <w:highlight w:val="yellow"/>
              </w:rPr>
            </w:pPr>
          </w:p>
          <w:p w:rsidR="00325B14" w:rsidRPr="00325B14" w:rsidRDefault="00325B14" w:rsidP="00325B14">
            <w:pPr>
              <w:jc w:val="both"/>
              <w:rPr>
                <w:rFonts w:ascii="Cambria" w:hAnsi="Cambria"/>
                <w:sz w:val="16"/>
                <w:szCs w:val="16"/>
                <w:highlight w:val="yellow"/>
              </w:rPr>
            </w:pPr>
          </w:p>
          <w:p w:rsidR="00325B14" w:rsidRPr="00325B14" w:rsidRDefault="00325B14" w:rsidP="00325B14">
            <w:pPr>
              <w:jc w:val="both"/>
              <w:rPr>
                <w:rFonts w:ascii="Cambria" w:hAnsi="Cambria"/>
                <w:sz w:val="16"/>
                <w:szCs w:val="16"/>
              </w:rPr>
            </w:pPr>
            <w:r w:rsidRPr="00325B14">
              <w:rPr>
                <w:rFonts w:ascii="Cambria" w:hAnsi="Cambria"/>
                <w:sz w:val="16"/>
                <w:szCs w:val="16"/>
                <w:highlight w:val="yellow"/>
              </w:rPr>
              <w:t>21. Suministro de páginas web, servidores (hosting), computación en la nube (</w:t>
            </w:r>
            <w:proofErr w:type="spellStart"/>
            <w:r w:rsidRPr="00325B14">
              <w:rPr>
                <w:rFonts w:ascii="Cambria" w:hAnsi="Cambria"/>
                <w:sz w:val="16"/>
                <w:szCs w:val="16"/>
                <w:highlight w:val="yellow"/>
              </w:rPr>
              <w:t>cloud</w:t>
            </w:r>
            <w:proofErr w:type="spellEnd"/>
            <w:r w:rsidRPr="00325B14">
              <w:rPr>
                <w:rFonts w:ascii="Cambria" w:hAnsi="Cambria"/>
                <w:sz w:val="16"/>
                <w:szCs w:val="16"/>
                <w:highlight w:val="yellow"/>
              </w:rPr>
              <w:t xml:space="preserve"> </w:t>
            </w:r>
            <w:proofErr w:type="spellStart"/>
            <w:r w:rsidRPr="00325B14">
              <w:rPr>
                <w:rFonts w:ascii="Cambria" w:hAnsi="Cambria"/>
                <w:sz w:val="16"/>
                <w:szCs w:val="16"/>
                <w:highlight w:val="yellow"/>
              </w:rPr>
              <w:t>computing</w:t>
            </w:r>
            <w:proofErr w:type="spellEnd"/>
            <w:r w:rsidRPr="00325B14">
              <w:rPr>
                <w:rFonts w:ascii="Cambria" w:hAnsi="Cambria"/>
                <w:sz w:val="16"/>
                <w:szCs w:val="16"/>
                <w:highlight w:val="yellow"/>
              </w:rPr>
              <w:t>).</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22. Las comisiones pagadas por los servicios que se presten para el desarrollo de procesos de titularización de activos a través de universalidades y patrimonios autónomos cuyo pago se realice exclusivamente con cargo a los recursos de tales universalidades o patrimonios autónomos.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23. Las comisiones percibidas por las sociedades fiduciarias, sociedades administradoras de inversión y comisionistas de bolsa por la administración de fondos de inversión colectiva.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24. Los siguientes servicios, siempre que se destinen a la adecuación de tierras, a la producción agropecuaria y pesquera y a la comercialización de los respectivos productos:</w:t>
            </w:r>
          </w:p>
          <w:p w:rsidR="00325B14" w:rsidRPr="00325B14" w:rsidRDefault="00325B14" w:rsidP="00325B14">
            <w:pPr>
              <w:jc w:val="both"/>
              <w:rPr>
                <w:rFonts w:ascii="Cambria" w:hAnsi="Cambria"/>
                <w:sz w:val="16"/>
                <w:szCs w:val="16"/>
              </w:rPr>
            </w:pPr>
            <w:r w:rsidRPr="00325B14">
              <w:rPr>
                <w:rFonts w:ascii="Cambria" w:hAnsi="Cambria"/>
                <w:sz w:val="16"/>
                <w:szCs w:val="16"/>
              </w:rPr>
              <w:t>a) El riego de terrenos dedicados a la explotación agropecuaria;</w:t>
            </w:r>
          </w:p>
          <w:p w:rsidR="00325B14" w:rsidRPr="00325B14" w:rsidRDefault="00325B14" w:rsidP="00325B14">
            <w:pPr>
              <w:jc w:val="both"/>
              <w:rPr>
                <w:rFonts w:ascii="Cambria" w:hAnsi="Cambria"/>
                <w:sz w:val="16"/>
                <w:szCs w:val="16"/>
              </w:rPr>
            </w:pPr>
            <w:r w:rsidRPr="00325B14">
              <w:rPr>
                <w:rFonts w:ascii="Cambria" w:hAnsi="Cambria"/>
                <w:sz w:val="16"/>
                <w:szCs w:val="16"/>
              </w:rPr>
              <w:t>b) El diseño de sistemas de riego, su instalación, construcción, operación, administración y conservación;</w:t>
            </w:r>
          </w:p>
          <w:p w:rsidR="00325B14" w:rsidRPr="00325B14" w:rsidRDefault="00325B14" w:rsidP="00325B14">
            <w:pPr>
              <w:jc w:val="both"/>
              <w:rPr>
                <w:rFonts w:ascii="Cambria" w:hAnsi="Cambria"/>
                <w:sz w:val="16"/>
                <w:szCs w:val="16"/>
              </w:rPr>
            </w:pPr>
            <w:r w:rsidRPr="00325B14">
              <w:rPr>
                <w:rFonts w:ascii="Cambria" w:hAnsi="Cambria"/>
                <w:sz w:val="16"/>
                <w:szCs w:val="16"/>
              </w:rPr>
              <w:t>c) La construcción de reservorios para la actividad agropecuaria;</w:t>
            </w:r>
          </w:p>
          <w:p w:rsidR="00325B14" w:rsidRPr="00325B14" w:rsidRDefault="00325B14" w:rsidP="00325B14">
            <w:pPr>
              <w:jc w:val="both"/>
              <w:rPr>
                <w:rFonts w:ascii="Cambria" w:hAnsi="Cambria"/>
                <w:sz w:val="16"/>
                <w:szCs w:val="16"/>
              </w:rPr>
            </w:pPr>
            <w:r w:rsidRPr="00325B14">
              <w:rPr>
                <w:rFonts w:ascii="Cambria" w:hAnsi="Cambria"/>
                <w:sz w:val="16"/>
                <w:szCs w:val="16"/>
              </w:rPr>
              <w:t>d) La preparación y limpieza de terrenos de siembra;</w:t>
            </w:r>
          </w:p>
          <w:p w:rsidR="00325B14" w:rsidRPr="00325B14" w:rsidRDefault="00325B14" w:rsidP="00325B14">
            <w:pPr>
              <w:jc w:val="both"/>
              <w:rPr>
                <w:rFonts w:ascii="Cambria" w:hAnsi="Cambria"/>
                <w:sz w:val="16"/>
                <w:szCs w:val="16"/>
              </w:rPr>
            </w:pPr>
            <w:r w:rsidRPr="00325B14">
              <w:rPr>
                <w:rFonts w:ascii="Cambria" w:hAnsi="Cambria"/>
                <w:sz w:val="16"/>
                <w:szCs w:val="16"/>
              </w:rPr>
              <w:t>e) El control de plagas, enfermedades y malezas, incluida la fumigación aérea y terrestre de sembradíos;</w:t>
            </w:r>
          </w:p>
          <w:p w:rsidR="00325B14" w:rsidRPr="00325B14" w:rsidRDefault="00325B14" w:rsidP="00325B14">
            <w:pPr>
              <w:jc w:val="both"/>
              <w:rPr>
                <w:rFonts w:ascii="Cambria" w:hAnsi="Cambria"/>
                <w:sz w:val="16"/>
                <w:szCs w:val="16"/>
              </w:rPr>
            </w:pPr>
            <w:r w:rsidRPr="00325B14">
              <w:rPr>
                <w:rFonts w:ascii="Cambria" w:hAnsi="Cambria"/>
                <w:sz w:val="16"/>
                <w:szCs w:val="16"/>
              </w:rPr>
              <w:t>f) El corte y recolección manual y mecanizada de productos agropecuarios;</w:t>
            </w:r>
          </w:p>
          <w:p w:rsidR="00325B14" w:rsidRPr="00325B14" w:rsidRDefault="00325B14" w:rsidP="00325B14">
            <w:pPr>
              <w:jc w:val="both"/>
              <w:rPr>
                <w:rFonts w:ascii="Cambria" w:hAnsi="Cambria"/>
                <w:sz w:val="16"/>
                <w:szCs w:val="16"/>
              </w:rPr>
            </w:pPr>
            <w:r w:rsidRPr="00325B14">
              <w:rPr>
                <w:rFonts w:ascii="Cambria" w:hAnsi="Cambria"/>
                <w:sz w:val="16"/>
                <w:szCs w:val="16"/>
              </w:rPr>
              <w:t>g) Aplicación de fertilizantes y elementos de nutrición edáfica y foliar de los cultivos;</w:t>
            </w:r>
          </w:p>
          <w:p w:rsidR="00325B14" w:rsidRPr="00325B14" w:rsidRDefault="00325B14" w:rsidP="00325B14">
            <w:pPr>
              <w:jc w:val="both"/>
              <w:rPr>
                <w:rFonts w:ascii="Cambria" w:hAnsi="Cambria"/>
                <w:sz w:val="16"/>
                <w:szCs w:val="16"/>
              </w:rPr>
            </w:pPr>
            <w:r w:rsidRPr="00325B14">
              <w:rPr>
                <w:rFonts w:ascii="Cambria" w:hAnsi="Cambria"/>
                <w:sz w:val="16"/>
                <w:szCs w:val="16"/>
              </w:rPr>
              <w:t>h) Aplicación de sales mineralizadas;</w:t>
            </w:r>
          </w:p>
          <w:p w:rsidR="00325B14" w:rsidRPr="00325B14" w:rsidRDefault="00325B14" w:rsidP="00325B14">
            <w:pPr>
              <w:jc w:val="both"/>
              <w:rPr>
                <w:rFonts w:ascii="Cambria" w:hAnsi="Cambria"/>
                <w:sz w:val="16"/>
                <w:szCs w:val="16"/>
              </w:rPr>
            </w:pPr>
            <w:r w:rsidRPr="00325B14">
              <w:rPr>
                <w:rFonts w:ascii="Cambria" w:hAnsi="Cambria"/>
                <w:sz w:val="16"/>
                <w:szCs w:val="16"/>
              </w:rPr>
              <w:t>i) Aplicación de enmiendas agrícolas;</w:t>
            </w:r>
          </w:p>
          <w:p w:rsidR="00325B14" w:rsidRPr="00325B14" w:rsidRDefault="00325B14" w:rsidP="00325B14">
            <w:pPr>
              <w:jc w:val="both"/>
              <w:rPr>
                <w:rFonts w:ascii="Cambria" w:hAnsi="Cambria"/>
                <w:sz w:val="16"/>
                <w:szCs w:val="16"/>
              </w:rPr>
            </w:pPr>
            <w:r w:rsidRPr="00325B14">
              <w:rPr>
                <w:rFonts w:ascii="Cambria" w:hAnsi="Cambria"/>
                <w:sz w:val="16"/>
                <w:szCs w:val="16"/>
              </w:rPr>
              <w:t>j) Aplicación de insumos como vacunas y productos veterinarios;</w:t>
            </w:r>
          </w:p>
          <w:p w:rsidR="00325B14" w:rsidRPr="00325B14" w:rsidRDefault="00325B14" w:rsidP="00325B14">
            <w:pPr>
              <w:jc w:val="both"/>
              <w:rPr>
                <w:rFonts w:ascii="Cambria" w:hAnsi="Cambria"/>
                <w:sz w:val="16"/>
                <w:szCs w:val="16"/>
              </w:rPr>
            </w:pPr>
            <w:r w:rsidRPr="00325B14">
              <w:rPr>
                <w:rFonts w:ascii="Cambria" w:hAnsi="Cambria"/>
                <w:sz w:val="16"/>
                <w:szCs w:val="16"/>
              </w:rPr>
              <w:t>k) El pesaje y el alquiler de corrales en ferias de ganado mayor y menor;</w:t>
            </w:r>
          </w:p>
          <w:p w:rsidR="00325B14" w:rsidRPr="00325B14" w:rsidRDefault="00325B14" w:rsidP="00325B14">
            <w:pPr>
              <w:jc w:val="both"/>
              <w:rPr>
                <w:rFonts w:ascii="Cambria" w:hAnsi="Cambria"/>
                <w:sz w:val="16"/>
                <w:szCs w:val="16"/>
              </w:rPr>
            </w:pPr>
            <w:r w:rsidRPr="00325B14">
              <w:rPr>
                <w:rFonts w:ascii="Cambria" w:hAnsi="Cambria"/>
                <w:sz w:val="16"/>
                <w:szCs w:val="16"/>
              </w:rPr>
              <w:t>l) La siembra;</w:t>
            </w:r>
          </w:p>
          <w:p w:rsidR="00325B14" w:rsidRPr="00325B14" w:rsidRDefault="00325B14" w:rsidP="00325B14">
            <w:pPr>
              <w:jc w:val="both"/>
              <w:rPr>
                <w:rFonts w:ascii="Cambria" w:hAnsi="Cambria"/>
                <w:sz w:val="16"/>
                <w:szCs w:val="16"/>
              </w:rPr>
            </w:pPr>
            <w:r w:rsidRPr="00325B14">
              <w:rPr>
                <w:rFonts w:ascii="Cambria" w:hAnsi="Cambria"/>
                <w:sz w:val="16"/>
                <w:szCs w:val="16"/>
              </w:rPr>
              <w:t>m) La construcción de drenajes para la agricultura;</w:t>
            </w:r>
          </w:p>
          <w:p w:rsidR="00325B14" w:rsidRPr="00325B14" w:rsidRDefault="00325B14" w:rsidP="00325B14">
            <w:pPr>
              <w:jc w:val="both"/>
              <w:rPr>
                <w:rFonts w:ascii="Cambria" w:hAnsi="Cambria"/>
                <w:sz w:val="16"/>
                <w:szCs w:val="16"/>
              </w:rPr>
            </w:pPr>
            <w:r w:rsidRPr="00325B14">
              <w:rPr>
                <w:rFonts w:ascii="Cambria" w:hAnsi="Cambria"/>
                <w:sz w:val="16"/>
                <w:szCs w:val="16"/>
              </w:rPr>
              <w:t>n) La construcción de estanques para la piscicultura;</w:t>
            </w:r>
          </w:p>
          <w:p w:rsidR="00325B14" w:rsidRPr="00325B14" w:rsidRDefault="00325B14" w:rsidP="00325B14">
            <w:pPr>
              <w:jc w:val="both"/>
              <w:rPr>
                <w:rFonts w:ascii="Cambria" w:hAnsi="Cambria"/>
                <w:sz w:val="16"/>
                <w:szCs w:val="16"/>
              </w:rPr>
            </w:pPr>
            <w:r w:rsidRPr="00325B14">
              <w:rPr>
                <w:rFonts w:ascii="Cambria" w:hAnsi="Cambria"/>
                <w:sz w:val="16"/>
                <w:szCs w:val="16"/>
              </w:rPr>
              <w:t>o) Los programas de sanidad animal;</w:t>
            </w:r>
          </w:p>
          <w:p w:rsidR="00325B14" w:rsidRPr="00325B14" w:rsidRDefault="00325B14" w:rsidP="00325B14">
            <w:pPr>
              <w:jc w:val="both"/>
              <w:rPr>
                <w:rFonts w:ascii="Cambria" w:hAnsi="Cambria"/>
                <w:sz w:val="16"/>
                <w:szCs w:val="16"/>
              </w:rPr>
            </w:pPr>
            <w:r w:rsidRPr="00325B14">
              <w:rPr>
                <w:rFonts w:ascii="Cambria" w:hAnsi="Cambria"/>
                <w:sz w:val="16"/>
                <w:szCs w:val="16"/>
              </w:rPr>
              <w:t>p) La perforación de pozos profundos para la extracción de agua;</w:t>
            </w:r>
          </w:p>
          <w:p w:rsidR="00325B14" w:rsidRPr="00325B14" w:rsidRDefault="00325B14" w:rsidP="00325B14">
            <w:pPr>
              <w:jc w:val="both"/>
              <w:rPr>
                <w:rFonts w:ascii="Cambria" w:hAnsi="Cambria"/>
                <w:sz w:val="16"/>
                <w:szCs w:val="16"/>
              </w:rPr>
            </w:pPr>
            <w:r w:rsidRPr="00325B14">
              <w:rPr>
                <w:rFonts w:ascii="Cambria" w:hAnsi="Cambria"/>
                <w:sz w:val="16"/>
                <w:szCs w:val="16"/>
              </w:rPr>
              <w:t>q) El desmonte de algodón, la trilla y el secamiento de productos agrícolas;</w:t>
            </w:r>
          </w:p>
          <w:p w:rsidR="00325B14" w:rsidRPr="00325B14" w:rsidRDefault="00325B14" w:rsidP="00325B14">
            <w:pPr>
              <w:jc w:val="both"/>
              <w:rPr>
                <w:rFonts w:ascii="Cambria" w:hAnsi="Cambria"/>
                <w:sz w:val="16"/>
                <w:szCs w:val="16"/>
              </w:rPr>
            </w:pPr>
            <w:r w:rsidRPr="00325B14">
              <w:rPr>
                <w:rFonts w:ascii="Cambria" w:hAnsi="Cambria"/>
                <w:sz w:val="16"/>
                <w:szCs w:val="16"/>
              </w:rPr>
              <w:t>r) La selección, clasificación y el empaque de productos agropecuarios sin procesamiento industrial</w:t>
            </w:r>
          </w:p>
          <w:p w:rsidR="00325B14" w:rsidRPr="00325B14" w:rsidRDefault="00325B14" w:rsidP="00325B14">
            <w:pPr>
              <w:jc w:val="both"/>
              <w:rPr>
                <w:rFonts w:ascii="Cambria" w:hAnsi="Cambria"/>
                <w:sz w:val="16"/>
                <w:szCs w:val="16"/>
              </w:rPr>
            </w:pPr>
            <w:r w:rsidRPr="00325B14">
              <w:rPr>
                <w:rFonts w:ascii="Cambria" w:hAnsi="Cambria"/>
                <w:sz w:val="16"/>
                <w:szCs w:val="16"/>
              </w:rPr>
              <w:t>s) La asistencia técnica en el sector agropecuario;</w:t>
            </w:r>
          </w:p>
          <w:p w:rsidR="00325B14" w:rsidRPr="00325B14" w:rsidRDefault="00325B14" w:rsidP="00325B14">
            <w:pPr>
              <w:jc w:val="both"/>
              <w:rPr>
                <w:rFonts w:ascii="Cambria" w:hAnsi="Cambria"/>
                <w:sz w:val="16"/>
                <w:szCs w:val="16"/>
              </w:rPr>
            </w:pPr>
            <w:r w:rsidRPr="00325B14">
              <w:rPr>
                <w:rFonts w:ascii="Cambria" w:hAnsi="Cambria"/>
                <w:sz w:val="16"/>
                <w:szCs w:val="16"/>
              </w:rPr>
              <w:t>t) La captura, procesamiento y comercialización de productos pesqueros;</w:t>
            </w:r>
          </w:p>
          <w:p w:rsidR="00325B14" w:rsidRPr="00325B14" w:rsidRDefault="00325B14" w:rsidP="00325B14">
            <w:pPr>
              <w:jc w:val="both"/>
              <w:rPr>
                <w:rFonts w:ascii="Cambria" w:hAnsi="Cambria"/>
                <w:sz w:val="16"/>
                <w:szCs w:val="16"/>
              </w:rPr>
            </w:pPr>
            <w:r w:rsidRPr="00325B14">
              <w:rPr>
                <w:rFonts w:ascii="Cambria" w:hAnsi="Cambria"/>
                <w:sz w:val="16"/>
                <w:szCs w:val="16"/>
              </w:rPr>
              <w:t>u) El servicio de recaudo de derechos de acceso vehicular a las centrales mayoristas de abasto.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Los usuarios de los servicios excluidos por el presente numeral deberán expedir una certificación a quien preste el servicio, en donde conste la destinación, el valor y el nombre e identificación del mismo. Quien preste el servicio deberá conservar dicha certificación durante el plazo señalado en el artículo </w:t>
            </w:r>
            <w:hyperlink r:id="rId78" w:anchor="632" w:history="1">
              <w:r w:rsidRPr="00325B14">
                <w:rPr>
                  <w:rStyle w:val="Hipervnculo"/>
                  <w:rFonts w:ascii="Cambria" w:hAnsi="Cambria" w:cs="Arial"/>
                  <w:color w:val="0073FF"/>
                  <w:sz w:val="16"/>
                  <w:szCs w:val="16"/>
                </w:rPr>
                <w:t>632</w:t>
              </w:r>
            </w:hyperlink>
            <w:r w:rsidRPr="00325B14">
              <w:rPr>
                <w:rFonts w:ascii="Cambria" w:hAnsi="Cambria"/>
                <w:sz w:val="16"/>
                <w:szCs w:val="16"/>
              </w:rPr>
              <w:t> del Estatuto Tributario, la cual servirá como soporte para la exclusión de los servicios.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 xml:space="preserve">25. La comercialización de animales vivos, excepto los animales domésticos de compañía </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25A.  El servicio de faenamiento.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26. Están excluidos de IVA los servicios de hotelería y turismo que sean prestados en los municipios que integran las siguientes zonas de régimen aduanero especial:</w:t>
            </w:r>
          </w:p>
          <w:p w:rsidR="00325B14" w:rsidRPr="00325B14" w:rsidRDefault="00325B14" w:rsidP="00325B14">
            <w:pPr>
              <w:jc w:val="both"/>
              <w:rPr>
                <w:rFonts w:ascii="Cambria" w:hAnsi="Cambria"/>
                <w:sz w:val="16"/>
                <w:szCs w:val="16"/>
              </w:rPr>
            </w:pPr>
            <w:r w:rsidRPr="00325B14">
              <w:rPr>
                <w:rFonts w:ascii="Cambria" w:hAnsi="Cambria"/>
                <w:sz w:val="16"/>
                <w:szCs w:val="16"/>
              </w:rPr>
              <w:t xml:space="preserve"> a) Zona de régimen aduanero especial de Urabá, Tumaco y Guapi.</w:t>
            </w:r>
          </w:p>
          <w:p w:rsidR="00325B14" w:rsidRPr="00325B14" w:rsidRDefault="00325B14" w:rsidP="00325B14">
            <w:pPr>
              <w:jc w:val="both"/>
              <w:rPr>
                <w:rFonts w:ascii="Cambria" w:hAnsi="Cambria"/>
                <w:sz w:val="16"/>
                <w:szCs w:val="16"/>
              </w:rPr>
            </w:pPr>
            <w:r w:rsidRPr="00325B14">
              <w:rPr>
                <w:rFonts w:ascii="Cambria" w:hAnsi="Cambria"/>
                <w:sz w:val="16"/>
                <w:szCs w:val="16"/>
              </w:rPr>
              <w:t>b) Zona de régimen aduanero especial de Inírida, Puerto Carreño, La Primavera y Cumaribo.</w:t>
            </w:r>
          </w:p>
          <w:p w:rsidR="00325B14" w:rsidRPr="00325B14" w:rsidRDefault="00325B14" w:rsidP="00325B14">
            <w:pPr>
              <w:jc w:val="both"/>
              <w:rPr>
                <w:rFonts w:ascii="Cambria" w:hAnsi="Cambria"/>
                <w:sz w:val="16"/>
                <w:szCs w:val="16"/>
              </w:rPr>
            </w:pPr>
            <w:r w:rsidRPr="00325B14">
              <w:rPr>
                <w:rFonts w:ascii="Cambria" w:hAnsi="Cambria"/>
                <w:sz w:val="16"/>
                <w:szCs w:val="16"/>
              </w:rPr>
              <w:t>c) Zona de régimen aduanero especial de Maicao, Uribia y Manaure.</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27. Las operaciones cambiarias de compra y venta de divisas, así como las operaciones cambiarias sobre instrumentos derivados financieros.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28. Las comisiones percibidas por la utilización de tarjetas crédito y débito.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29. Los servicios de promoción y fomento deportivo prestados por los clubes deportivos definidos en el artículo </w:t>
            </w:r>
            <w:hyperlink r:id="rId79" w:anchor="2" w:history="1">
              <w:r w:rsidRPr="00325B14">
                <w:rPr>
                  <w:rStyle w:val="Hipervnculo"/>
                  <w:rFonts w:ascii="Cambria" w:hAnsi="Cambria" w:cs="Arial"/>
                  <w:color w:val="0073FF"/>
                  <w:sz w:val="16"/>
                  <w:szCs w:val="16"/>
                </w:rPr>
                <w:t>2o</w:t>
              </w:r>
            </w:hyperlink>
            <w:r w:rsidRPr="00325B14">
              <w:rPr>
                <w:rFonts w:ascii="Cambria" w:hAnsi="Cambria"/>
                <w:sz w:val="16"/>
                <w:szCs w:val="16"/>
              </w:rPr>
              <w:t> del Decreto Ley 1228 de 1995.</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30. Los servicios de reparación y mantenimiento de naves y artefactos navales tanto marítimos como fluviales de bandera colombiana, excepto los servicios que se encuentran en el literal P) del numeral 3 del artículo </w:t>
            </w:r>
            <w:hyperlink r:id="rId80" w:anchor="477" w:history="1">
              <w:r w:rsidRPr="00325B14">
                <w:rPr>
                  <w:rStyle w:val="Hipervnculo"/>
                  <w:rFonts w:ascii="Cambria" w:hAnsi="Cambria" w:cs="Arial"/>
                  <w:color w:val="0073FF"/>
                  <w:sz w:val="16"/>
                  <w:szCs w:val="16"/>
                </w:rPr>
                <w:t>477</w:t>
              </w:r>
            </w:hyperlink>
            <w:r w:rsidRPr="00325B14">
              <w:rPr>
                <w:rFonts w:ascii="Cambria" w:hAnsi="Cambria"/>
                <w:sz w:val="16"/>
                <w:szCs w:val="16"/>
              </w:rPr>
              <w:t> de este Estatuto.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31. Los servicios de publicidad en periódicos que registren ventas en publicidad a 31 de diciembre del año inmediatamente anterior inferiores a 180.000 UVT.</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La publicidad en las emisoras de radio cuyas ventas sean inferiores a 30.000 UVT al 31 de diciembre del año inmediatamente anterior y programadoras de canales regionales de televisión cuyas ventas sean inferiores a 60.000 UVT al 31 de diciembre del año inmediatamente anterior. Aquellas que superen este monto se regirán por la regla general.</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Las exclusiones previstas en este numeral no se aplicarán a las empresas que surjan como consecuencia de la escisión de sociedades que antes de la expedición de la presente ley conformen una sola empresa ni a las nuevas empresas que se creen cuya matriz o empresa dominante se encuentre gravada con el IVA por este concepto.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32. Los servicios de corretaje de contratos de reaseguros.</w:t>
            </w:r>
          </w:p>
          <w:p w:rsidR="00325B14" w:rsidRPr="00325B14" w:rsidRDefault="00325B14" w:rsidP="00325B14">
            <w:pPr>
              <w:jc w:val="both"/>
              <w:rPr>
                <w:rStyle w:val="baj"/>
                <w:rFonts w:ascii="Cambria" w:hAnsi="Cambria"/>
                <w:b/>
                <w:bCs/>
                <w:color w:val="000000"/>
                <w:sz w:val="16"/>
                <w:szCs w:val="16"/>
              </w:rPr>
            </w:pPr>
          </w:p>
          <w:p w:rsidR="00325B14" w:rsidRPr="00325B14" w:rsidRDefault="00325B14" w:rsidP="00325B14">
            <w:pPr>
              <w:jc w:val="both"/>
              <w:rPr>
                <w:rFonts w:ascii="Cambria" w:hAnsi="Cambria"/>
                <w:sz w:val="16"/>
                <w:szCs w:val="16"/>
              </w:rPr>
            </w:pPr>
            <w:r w:rsidRPr="00325B14">
              <w:rPr>
                <w:rStyle w:val="baj"/>
                <w:rFonts w:ascii="Cambria" w:hAnsi="Cambria"/>
                <w:b/>
                <w:bCs/>
                <w:color w:val="000000"/>
                <w:sz w:val="16"/>
                <w:szCs w:val="16"/>
              </w:rPr>
              <w:t>PARÁGRAFO. </w:t>
            </w:r>
            <w:r w:rsidRPr="00325B14">
              <w:rPr>
                <w:rFonts w:ascii="Cambria" w:hAnsi="Cambria"/>
                <w:sz w:val="16"/>
                <w:szCs w:val="16"/>
              </w:rPr>
              <w:t>En los casos de trabajos de fabricación, elaboración o construcción de bienes corporales muebles, realizados por encargo de terceros, incluidos los destinados a convertirse en inmuebles por accesión, con o sin aporte de materias primas, ya sea que supongan la obtención del producto final o constituyan una etapa de su fabricación, elaboración, construcción o puesta en condiciones de utilización, la tarifa aplicable es la que corresponda al bien que resulte de la prestación del servicio.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Lo dispuesto en el presente parágrafo no aplica para las industrias de minería e hidrocarburos.</w:t>
            </w:r>
          </w:p>
          <w:p w:rsidR="00325B14" w:rsidRPr="00325B14" w:rsidRDefault="00325B14" w:rsidP="00325B14">
            <w:pPr>
              <w:jc w:val="both"/>
              <w:rPr>
                <w:rFonts w:ascii="Cambria" w:hAnsi="Cambria"/>
                <w:b/>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PARÁGRAFO 2. Para los efectos del presente artículo y de conformidad con la reglamentación vigente expedida por el Ministerio de Salud y el Instituto Colombiano Agropecuario, se entienden como animales domésticos de compañía los gatos, perros, hurones, conejos, chinchillas, hámster, cobayos, jerbos y Mini-</w:t>
            </w:r>
            <w:proofErr w:type="spellStart"/>
            <w:r w:rsidRPr="00325B14">
              <w:rPr>
                <w:rFonts w:ascii="Cambria" w:hAnsi="Cambria"/>
                <w:sz w:val="16"/>
                <w:szCs w:val="16"/>
              </w:rPr>
              <w:t>Pigs</w:t>
            </w:r>
            <w:proofErr w:type="spellEnd"/>
            <w:r w:rsidRPr="00325B14">
              <w:rPr>
                <w:rFonts w:ascii="Cambria" w:hAnsi="Cambria"/>
                <w:sz w:val="16"/>
                <w:szCs w:val="16"/>
              </w:rPr>
              <w:t> </w:t>
            </w:r>
          </w:p>
          <w:p w:rsidR="00325B14" w:rsidRPr="00325B14" w:rsidRDefault="00325B14" w:rsidP="00325B14">
            <w:pPr>
              <w:jc w:val="both"/>
              <w:rPr>
                <w:rFonts w:ascii="Cambria" w:hAnsi="Cambria"/>
                <w:b/>
                <w:sz w:val="16"/>
                <w:szCs w:val="16"/>
              </w:rPr>
            </w:pPr>
          </w:p>
        </w:tc>
        <w:tc>
          <w:tcPr>
            <w:tcW w:w="4865" w:type="dxa"/>
          </w:tcPr>
          <w:p w:rsidR="00325B14" w:rsidRPr="00325B14" w:rsidRDefault="00325B14" w:rsidP="00325B14">
            <w:pPr>
              <w:jc w:val="both"/>
              <w:rPr>
                <w:rFonts w:ascii="Cambria" w:hAnsi="Cambria"/>
                <w:sz w:val="16"/>
                <w:szCs w:val="16"/>
              </w:rPr>
            </w:pPr>
            <w:r w:rsidRPr="00325B14">
              <w:rPr>
                <w:rFonts w:ascii="Cambria" w:hAnsi="Cambria"/>
                <w:b/>
                <w:bCs/>
                <w:color w:val="000000" w:themeColor="text1"/>
                <w:sz w:val="16"/>
                <w:szCs w:val="16"/>
              </w:rPr>
              <w:lastRenderedPageBreak/>
              <w:t>Artículo 476. Servicios excluidos del impuesto sobre las ventas -</w:t>
            </w:r>
            <w:proofErr w:type="spellStart"/>
            <w:r w:rsidRPr="00325B14">
              <w:rPr>
                <w:rFonts w:ascii="Cambria" w:hAnsi="Cambria"/>
                <w:b/>
                <w:bCs/>
                <w:color w:val="000000" w:themeColor="text1"/>
                <w:sz w:val="16"/>
                <w:szCs w:val="16"/>
              </w:rPr>
              <w:t>iva</w:t>
            </w:r>
            <w:proofErr w:type="spellEnd"/>
            <w:r>
              <w:rPr>
                <w:rFonts w:ascii="Cambria" w:hAnsi="Cambria"/>
                <w:b/>
                <w:bCs/>
                <w:color w:val="000000" w:themeColor="text1"/>
                <w:sz w:val="16"/>
                <w:szCs w:val="16"/>
              </w:rPr>
              <w:t xml:space="preserve"> </w:t>
            </w:r>
            <w:r w:rsidRPr="00325B14">
              <w:rPr>
                <w:rFonts w:ascii="Cambria" w:hAnsi="Cambria"/>
                <w:b/>
                <w:bCs/>
                <w:color w:val="FF0000"/>
                <w:sz w:val="16"/>
                <w:szCs w:val="16"/>
              </w:rPr>
              <w:t xml:space="preserve">(modificado con artículo 95 proyecto de </w:t>
            </w:r>
            <w:r w:rsidR="00FB60A2">
              <w:rPr>
                <w:rFonts w:ascii="Cambria" w:hAnsi="Cambria"/>
                <w:b/>
                <w:bCs/>
                <w:color w:val="FF0000"/>
                <w:sz w:val="16"/>
                <w:szCs w:val="16"/>
              </w:rPr>
              <w:t>Ley de septiembre de 2025</w:t>
            </w:r>
            <w:r w:rsidRPr="00325B14">
              <w:rPr>
                <w:rFonts w:ascii="Cambria" w:hAnsi="Cambria"/>
                <w:b/>
                <w:bCs/>
                <w:color w:val="FF0000"/>
                <w:sz w:val="16"/>
                <w:szCs w:val="16"/>
              </w:rPr>
              <w:t xml:space="preserve">)- </w:t>
            </w:r>
            <w:r w:rsidRPr="00325B14">
              <w:rPr>
                <w:rFonts w:ascii="Cambria" w:hAnsi="Cambria"/>
                <w:sz w:val="16"/>
                <w:szCs w:val="16"/>
              </w:rPr>
              <w:t>Se exceptúan del impuesto los siguientes servicios y los bienes relacionados explícitamente a continuación:</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 Los servicios médicos, odontológicos, hospitalarios, clínicos y de laboratorio, para la salud humana.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 Los servicios de administración de fondos del Estado y los servicios vinculados con la seguridad social de acuerdo con lo previsto en la Ley </w:t>
            </w:r>
            <w:hyperlink r:id="rId81" w:anchor="INICIO" w:history="1">
              <w:r w:rsidRPr="00325B14">
                <w:rPr>
                  <w:rStyle w:val="Hipervnculo"/>
                  <w:rFonts w:ascii="Cambria" w:hAnsi="Cambria" w:cs="Arial"/>
                  <w:color w:val="0073FF"/>
                  <w:sz w:val="16"/>
                  <w:szCs w:val="16"/>
                </w:rPr>
                <w:t>100</w:t>
              </w:r>
            </w:hyperlink>
            <w:r w:rsidRPr="00325B14">
              <w:rPr>
                <w:rFonts w:ascii="Cambria" w:hAnsi="Cambria"/>
                <w:sz w:val="16"/>
                <w:szCs w:val="16"/>
              </w:rPr>
              <w:t> de 1993.</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 Los planes obligatorios de salud del sistema de seguridad social en salud expedidos por entidades autorizadas por la Superintendencia Nacional de Salud, los servicios prestados por las administradoras dentro del régimen de ahorro individual con solidaridad y de prima media con prestación definida, los servicios prestados por administradoras de riesgos laborales y los servicios de seguros y reaseguros para invalidez y sobrevivientes, contemplados dentro del régimen de ahorro individual con solidaridad a que se refiere el artículo </w:t>
            </w:r>
            <w:hyperlink r:id="rId82" w:anchor="135" w:history="1">
              <w:r w:rsidRPr="00325B14">
                <w:rPr>
                  <w:rStyle w:val="Hipervnculo"/>
                  <w:rFonts w:ascii="Cambria" w:hAnsi="Cambria" w:cs="Arial"/>
                  <w:color w:val="0073FF"/>
                  <w:sz w:val="16"/>
                  <w:szCs w:val="16"/>
                </w:rPr>
                <w:t>135</w:t>
              </w:r>
            </w:hyperlink>
            <w:r w:rsidRPr="00325B14">
              <w:rPr>
                <w:rFonts w:ascii="Cambria" w:hAnsi="Cambria"/>
                <w:sz w:val="16"/>
                <w:szCs w:val="16"/>
              </w:rPr>
              <w:t> de la Ley 100 de 1993 o las disposiciones que la modifiquen o sustituyan.</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4. Las comisiones por intermediación por la colocación de los planes de salud del sistema general de seguridad social en salud expedidos por las entidades autorizadas legalmente por la Superintendencia Nacional de Salud, que no estén sometidos al impuesto sobre las ventas (IVA).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5. Los servicios de educación prestados por establecimientos de educación preescolar, primaria, media e intermedia, superior y especial o no formal, reconocidos como tales por el Gobierno nacional, y los servicios de educación prestados por personas naturales a dichos establecimientos. Están excluidos igualmente los servicios prestados por los establecimientos de educación relativos a restaurantes, cafeterías y transporte, así como los que se presten en desarrollo de las Leyes </w:t>
            </w:r>
            <w:hyperlink r:id="rId83" w:anchor="INICIO" w:history="1">
              <w:r w:rsidRPr="00325B14">
                <w:rPr>
                  <w:rStyle w:val="Hipervnculo"/>
                  <w:rFonts w:ascii="Cambria" w:hAnsi="Cambria" w:cs="Arial"/>
                  <w:color w:val="0073FF"/>
                  <w:sz w:val="16"/>
                  <w:szCs w:val="16"/>
                </w:rPr>
                <w:t>30</w:t>
              </w:r>
            </w:hyperlink>
            <w:r w:rsidRPr="00325B14">
              <w:rPr>
                <w:rFonts w:ascii="Cambria" w:hAnsi="Cambria"/>
                <w:sz w:val="16"/>
                <w:szCs w:val="16"/>
              </w:rPr>
              <w:t> de 1992 y </w:t>
            </w:r>
            <w:hyperlink r:id="rId84" w:anchor="INICIO" w:history="1">
              <w:r w:rsidRPr="00325B14">
                <w:rPr>
                  <w:rStyle w:val="Hipervnculo"/>
                  <w:rFonts w:ascii="Cambria" w:hAnsi="Cambria" w:cs="Arial"/>
                  <w:color w:val="0073FF"/>
                  <w:sz w:val="16"/>
                  <w:szCs w:val="16"/>
                </w:rPr>
                <w:t>115</w:t>
              </w:r>
            </w:hyperlink>
            <w:r w:rsidRPr="00325B14">
              <w:rPr>
                <w:rFonts w:ascii="Cambria" w:hAnsi="Cambria"/>
                <w:sz w:val="16"/>
                <w:szCs w:val="16"/>
              </w:rPr>
              <w:t> de 1994, o las disposiciones que las modifiquen o sustituyan. Igualmente están excluidos los servicios de evaluación de la educación y de elaboración y aplicación de exámenes para la selección y promoción de personal, prestados por organismos o entidades de la administración pública.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6. Los servicios de educación virtual para el desarrollo de contenidos digitales, de acuerdo con la reglamentación expedida por el Ministerio de Tecnologías de la Información y las Comunicaciones, prestados en Colombia o en el exterior.</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7. Los servicios de conexión y acceso a internet de los usuarios residenciales del estrato 3.</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8. En el caso del servicio telefónico local, se excluyen del impuesto los primeros trescientos veinticinco (325) minutos mensuales del servicio telefónico local 'facturado a los usuarios de los estratos 1, 2 y 3 y el servicio telefónico prestado desde teléfonos públicos.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lastRenderedPageBreak/>
              <w:t>9. El servicio de transporte público, terrestre, fluvial y marítimo de personas en el territorio nacional, y el de transporte público o privado nacional e internacional de carga marítimo, fluvial, terrestre y aéreo. Igualmente, se excluye el transporte de gas e hidrocarburos.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10. El transporte aéreo nacional de pasajeros con destino o procedencia de rutas nacionales donde no exista transporte terrestre organizado. Esta exclusión también aplica para el transporte aéreo turístico con destino o procedencia al departamento de La Guajira y los municipios de Nuquí, en el departamento de Chocó, Mompox en el departamento de Bolívar, Tolú, en el departamento de Sucre, Miraflores en el departamento del Guaviare y Puerto Carreño en el departamento del Vichada.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11. Los servicios públicos de energía. La energía y los servicios públicos de energía a base de gas u otros insumos.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12. El agua para la prestación del servicio público de acueducto y alcantarillado, los servicios públicos de acueducto y alcantarillado, los servicios de aseo público y los servicios públicos de recolección de basuras.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13. El gas para la prestación del servicio público de gas domiciliario y el servicio de gas domiciliario, ya sea conducido por tubería o distribuido en cilindros.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comunitarios.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15. El servicio de arrendamiento de inmuebles para vivienda y el arrendamiento de espacios para exposiciones y muestras artesanales nacionales, incluidos los eventos artísticos y culturales.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16. Los intereses y rendimientos financieros por operaciones de crédito, siempre que no formen parte de la base gravable señalada en el artículo </w:t>
            </w:r>
            <w:hyperlink r:id="rId85" w:anchor="447" w:history="1">
              <w:r w:rsidRPr="00325B14">
                <w:rPr>
                  <w:rStyle w:val="Hipervnculo"/>
                  <w:rFonts w:ascii="Cambria" w:hAnsi="Cambria" w:cs="Arial"/>
                  <w:color w:val="0073FF"/>
                  <w:sz w:val="16"/>
                  <w:szCs w:val="16"/>
                </w:rPr>
                <w:t>447</w:t>
              </w:r>
            </w:hyperlink>
            <w:r w:rsidRPr="00325B14">
              <w:rPr>
                <w:rFonts w:ascii="Cambria" w:hAnsi="Cambria"/>
                <w:sz w:val="16"/>
                <w:szCs w:val="16"/>
              </w:rPr>
              <w:t>, y el arrendamiento financiero (leasing).</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17. Los servicios de intermediación para el pago de incentivos o transferencias monetarias condicionadas en el marco de los programas sociales del Gobierno nacional.</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18. Las boletas de entrada a cine, a los eventos deportivos, culturales, incluidos los musicales y de recreación familiar. También se encuentran excluidos los servicios de que trata el artículo 6° de la Ley 1493 de 2011.</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19. Los servicios funerarios, los de cremación, inhumación y exhumación de cadáveres, alquiler y mantenimiento de tumbas y mausoleos.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highlight w:val="yellow"/>
              </w:rPr>
              <w:t>20. Derogado</w:t>
            </w:r>
          </w:p>
          <w:p w:rsidR="00325B14" w:rsidRPr="00325B14" w:rsidRDefault="00325B14" w:rsidP="00325B14">
            <w:pPr>
              <w:jc w:val="both"/>
              <w:rPr>
                <w:rFonts w:ascii="Cambria" w:hAnsi="Cambria"/>
                <w:sz w:val="16"/>
                <w:szCs w:val="16"/>
              </w:rPr>
            </w:pPr>
          </w:p>
          <w:p w:rsidR="00325B14" w:rsidRDefault="00325B14" w:rsidP="00325B14">
            <w:pPr>
              <w:jc w:val="both"/>
              <w:rPr>
                <w:rFonts w:ascii="Cambria" w:hAnsi="Cambria"/>
                <w:sz w:val="16"/>
                <w:szCs w:val="16"/>
              </w:rPr>
            </w:pPr>
          </w:p>
          <w:p w:rsidR="00325B14" w:rsidRDefault="00325B14" w:rsidP="00325B14">
            <w:pPr>
              <w:jc w:val="both"/>
              <w:rPr>
                <w:rFonts w:ascii="Cambria" w:hAnsi="Cambria"/>
                <w:sz w:val="16"/>
                <w:szCs w:val="16"/>
              </w:rPr>
            </w:pPr>
          </w:p>
          <w:p w:rsidR="00325B14" w:rsidRDefault="00325B14" w:rsidP="00325B14">
            <w:pPr>
              <w:jc w:val="both"/>
              <w:rPr>
                <w:rFonts w:ascii="Cambria" w:hAnsi="Cambria"/>
                <w:sz w:val="16"/>
                <w:szCs w:val="16"/>
              </w:rPr>
            </w:pPr>
          </w:p>
          <w:p w:rsidR="00325B14" w:rsidRDefault="00325B14" w:rsidP="00325B14">
            <w:pPr>
              <w:jc w:val="both"/>
              <w:rPr>
                <w:rFonts w:ascii="Cambria" w:hAnsi="Cambria"/>
                <w:sz w:val="16"/>
                <w:szCs w:val="16"/>
              </w:rPr>
            </w:pPr>
            <w:r w:rsidRPr="00325B14">
              <w:rPr>
                <w:rFonts w:ascii="Cambria" w:hAnsi="Cambria"/>
                <w:sz w:val="16"/>
                <w:szCs w:val="16"/>
                <w:highlight w:val="yellow"/>
              </w:rPr>
              <w:t>21. Derogado</w:t>
            </w:r>
          </w:p>
          <w:p w:rsid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 xml:space="preserve">22. Las comisiones pagadas por los servicios que se presten para el desarrollo de procesos de titularización de activos a través de universalidades y patrimonios autónomos cuyo pago se realice </w:t>
            </w:r>
            <w:r w:rsidRPr="00325B14">
              <w:rPr>
                <w:rFonts w:ascii="Cambria" w:hAnsi="Cambria"/>
                <w:sz w:val="16"/>
                <w:szCs w:val="16"/>
              </w:rPr>
              <w:lastRenderedPageBreak/>
              <w:t>exclusivamente con cargo a los recursos de tales universalidades o patrimonios autónomos.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23. Las comisiones percibidas por las sociedades fiduciarias, sociedades administradoras de inversión y comisionistas de bolsa por la administración de fondos de inversión colectiva.</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24. Los siguientes servicios, siempre que se destinen a la adecuación de tierras, a la producción agropecuaria y pesquera y a la comercialización de los respectivos productos:</w:t>
            </w:r>
          </w:p>
          <w:p w:rsidR="00325B14" w:rsidRPr="00325B14" w:rsidRDefault="00325B14" w:rsidP="00325B14">
            <w:pPr>
              <w:jc w:val="both"/>
              <w:rPr>
                <w:rFonts w:ascii="Cambria" w:hAnsi="Cambria"/>
                <w:sz w:val="16"/>
                <w:szCs w:val="16"/>
              </w:rPr>
            </w:pPr>
            <w:r w:rsidRPr="00325B14">
              <w:rPr>
                <w:rFonts w:ascii="Cambria" w:hAnsi="Cambria"/>
                <w:sz w:val="16"/>
                <w:szCs w:val="16"/>
              </w:rPr>
              <w:t>a) El riego de terrenos dedicados a la explotación agropecuaria;</w:t>
            </w:r>
          </w:p>
          <w:p w:rsidR="00325B14" w:rsidRPr="00325B14" w:rsidRDefault="00325B14" w:rsidP="00325B14">
            <w:pPr>
              <w:jc w:val="both"/>
              <w:rPr>
                <w:rFonts w:ascii="Cambria" w:hAnsi="Cambria"/>
                <w:sz w:val="16"/>
                <w:szCs w:val="16"/>
              </w:rPr>
            </w:pPr>
            <w:r w:rsidRPr="00325B14">
              <w:rPr>
                <w:rFonts w:ascii="Cambria" w:hAnsi="Cambria"/>
                <w:sz w:val="16"/>
                <w:szCs w:val="16"/>
              </w:rPr>
              <w:t>b) El diseño de sistemas de riego, su instalación, construcción, operación, administración y conservación;</w:t>
            </w:r>
          </w:p>
          <w:p w:rsidR="00325B14" w:rsidRPr="00325B14" w:rsidRDefault="00325B14" w:rsidP="00325B14">
            <w:pPr>
              <w:jc w:val="both"/>
              <w:rPr>
                <w:rFonts w:ascii="Cambria" w:hAnsi="Cambria"/>
                <w:sz w:val="16"/>
                <w:szCs w:val="16"/>
              </w:rPr>
            </w:pPr>
            <w:r w:rsidRPr="00325B14">
              <w:rPr>
                <w:rFonts w:ascii="Cambria" w:hAnsi="Cambria"/>
                <w:sz w:val="16"/>
                <w:szCs w:val="16"/>
              </w:rPr>
              <w:t>c) La construcción de reservorios para la actividad agropecuaria;</w:t>
            </w:r>
          </w:p>
          <w:p w:rsidR="00325B14" w:rsidRPr="00325B14" w:rsidRDefault="00325B14" w:rsidP="00325B14">
            <w:pPr>
              <w:jc w:val="both"/>
              <w:rPr>
                <w:rFonts w:ascii="Cambria" w:hAnsi="Cambria"/>
                <w:sz w:val="16"/>
                <w:szCs w:val="16"/>
              </w:rPr>
            </w:pPr>
            <w:r w:rsidRPr="00325B14">
              <w:rPr>
                <w:rFonts w:ascii="Cambria" w:hAnsi="Cambria"/>
                <w:sz w:val="16"/>
                <w:szCs w:val="16"/>
              </w:rPr>
              <w:t>d) La preparación y limpieza de terrenos de siembra;</w:t>
            </w:r>
          </w:p>
          <w:p w:rsidR="00325B14" w:rsidRPr="00325B14" w:rsidRDefault="00325B14" w:rsidP="00325B14">
            <w:pPr>
              <w:jc w:val="both"/>
              <w:rPr>
                <w:rFonts w:ascii="Cambria" w:hAnsi="Cambria"/>
                <w:sz w:val="16"/>
                <w:szCs w:val="16"/>
              </w:rPr>
            </w:pPr>
            <w:r w:rsidRPr="00325B14">
              <w:rPr>
                <w:rFonts w:ascii="Cambria" w:hAnsi="Cambria"/>
                <w:sz w:val="16"/>
                <w:szCs w:val="16"/>
              </w:rPr>
              <w:t>e) El control de plagas, enfermedades y malezas, incluida la fumigación aérea y terrestre de sembradíos;</w:t>
            </w:r>
          </w:p>
          <w:p w:rsidR="00325B14" w:rsidRPr="00325B14" w:rsidRDefault="00325B14" w:rsidP="00325B14">
            <w:pPr>
              <w:jc w:val="both"/>
              <w:rPr>
                <w:rFonts w:ascii="Cambria" w:hAnsi="Cambria"/>
                <w:sz w:val="16"/>
                <w:szCs w:val="16"/>
              </w:rPr>
            </w:pPr>
            <w:r w:rsidRPr="00325B14">
              <w:rPr>
                <w:rFonts w:ascii="Cambria" w:hAnsi="Cambria"/>
                <w:sz w:val="16"/>
                <w:szCs w:val="16"/>
              </w:rPr>
              <w:t>f) El corte y recolección manual y mecanizada de productos agropecuarios;</w:t>
            </w:r>
          </w:p>
          <w:p w:rsidR="00325B14" w:rsidRPr="00325B14" w:rsidRDefault="00325B14" w:rsidP="00325B14">
            <w:pPr>
              <w:jc w:val="both"/>
              <w:rPr>
                <w:rFonts w:ascii="Cambria" w:hAnsi="Cambria"/>
                <w:sz w:val="16"/>
                <w:szCs w:val="16"/>
              </w:rPr>
            </w:pPr>
            <w:r w:rsidRPr="00325B14">
              <w:rPr>
                <w:rFonts w:ascii="Cambria" w:hAnsi="Cambria"/>
                <w:sz w:val="16"/>
                <w:szCs w:val="16"/>
              </w:rPr>
              <w:t>g) Aplicación de fertilizantes y elementos de nutrición edáfica y foliar de los cultivos;</w:t>
            </w:r>
          </w:p>
          <w:p w:rsidR="00325B14" w:rsidRPr="00325B14" w:rsidRDefault="00325B14" w:rsidP="00325B14">
            <w:pPr>
              <w:jc w:val="both"/>
              <w:rPr>
                <w:rFonts w:ascii="Cambria" w:hAnsi="Cambria"/>
                <w:sz w:val="16"/>
                <w:szCs w:val="16"/>
              </w:rPr>
            </w:pPr>
            <w:r w:rsidRPr="00325B14">
              <w:rPr>
                <w:rFonts w:ascii="Cambria" w:hAnsi="Cambria"/>
                <w:sz w:val="16"/>
                <w:szCs w:val="16"/>
              </w:rPr>
              <w:t>h) Aplicación de sales mineralizadas;</w:t>
            </w:r>
          </w:p>
          <w:p w:rsidR="00325B14" w:rsidRPr="00325B14" w:rsidRDefault="00325B14" w:rsidP="00325B14">
            <w:pPr>
              <w:jc w:val="both"/>
              <w:rPr>
                <w:rFonts w:ascii="Cambria" w:hAnsi="Cambria"/>
                <w:sz w:val="16"/>
                <w:szCs w:val="16"/>
              </w:rPr>
            </w:pPr>
            <w:r w:rsidRPr="00325B14">
              <w:rPr>
                <w:rFonts w:ascii="Cambria" w:hAnsi="Cambria"/>
                <w:sz w:val="16"/>
                <w:szCs w:val="16"/>
              </w:rPr>
              <w:t>i) Aplicación de enmiendas agrícolas;</w:t>
            </w:r>
          </w:p>
          <w:p w:rsidR="00325B14" w:rsidRPr="00325B14" w:rsidRDefault="00325B14" w:rsidP="00325B14">
            <w:pPr>
              <w:jc w:val="both"/>
              <w:rPr>
                <w:rFonts w:ascii="Cambria" w:hAnsi="Cambria"/>
                <w:sz w:val="16"/>
                <w:szCs w:val="16"/>
              </w:rPr>
            </w:pPr>
            <w:r w:rsidRPr="00325B14">
              <w:rPr>
                <w:rFonts w:ascii="Cambria" w:hAnsi="Cambria"/>
                <w:sz w:val="16"/>
                <w:szCs w:val="16"/>
              </w:rPr>
              <w:t>j) Aplicación de insumos como vacunas y productos veterinarios;</w:t>
            </w:r>
          </w:p>
          <w:p w:rsidR="00325B14" w:rsidRPr="00325B14" w:rsidRDefault="00325B14" w:rsidP="00325B14">
            <w:pPr>
              <w:jc w:val="both"/>
              <w:rPr>
                <w:rFonts w:ascii="Cambria" w:hAnsi="Cambria"/>
                <w:sz w:val="16"/>
                <w:szCs w:val="16"/>
              </w:rPr>
            </w:pPr>
            <w:r w:rsidRPr="00325B14">
              <w:rPr>
                <w:rFonts w:ascii="Cambria" w:hAnsi="Cambria"/>
                <w:sz w:val="16"/>
                <w:szCs w:val="16"/>
              </w:rPr>
              <w:t>k) El pesaje y el alquiler de corrales en ferias de ganado mayor y menor;</w:t>
            </w:r>
          </w:p>
          <w:p w:rsidR="00325B14" w:rsidRPr="00325B14" w:rsidRDefault="00325B14" w:rsidP="00325B14">
            <w:pPr>
              <w:jc w:val="both"/>
              <w:rPr>
                <w:rFonts w:ascii="Cambria" w:hAnsi="Cambria"/>
                <w:sz w:val="16"/>
                <w:szCs w:val="16"/>
              </w:rPr>
            </w:pPr>
            <w:r w:rsidRPr="00325B14">
              <w:rPr>
                <w:rFonts w:ascii="Cambria" w:hAnsi="Cambria"/>
                <w:sz w:val="16"/>
                <w:szCs w:val="16"/>
              </w:rPr>
              <w:t>l) La siembra;</w:t>
            </w:r>
          </w:p>
          <w:p w:rsidR="00325B14" w:rsidRPr="00325B14" w:rsidRDefault="00325B14" w:rsidP="00325B14">
            <w:pPr>
              <w:jc w:val="both"/>
              <w:rPr>
                <w:rFonts w:ascii="Cambria" w:hAnsi="Cambria"/>
                <w:sz w:val="16"/>
                <w:szCs w:val="16"/>
              </w:rPr>
            </w:pPr>
            <w:r w:rsidRPr="00325B14">
              <w:rPr>
                <w:rFonts w:ascii="Cambria" w:hAnsi="Cambria"/>
                <w:sz w:val="16"/>
                <w:szCs w:val="16"/>
              </w:rPr>
              <w:t>m) La construcción de drenajes para la agricultura;</w:t>
            </w:r>
          </w:p>
          <w:p w:rsidR="00325B14" w:rsidRPr="00325B14" w:rsidRDefault="00325B14" w:rsidP="00325B14">
            <w:pPr>
              <w:jc w:val="both"/>
              <w:rPr>
                <w:rFonts w:ascii="Cambria" w:hAnsi="Cambria"/>
                <w:sz w:val="16"/>
                <w:szCs w:val="16"/>
              </w:rPr>
            </w:pPr>
            <w:r w:rsidRPr="00325B14">
              <w:rPr>
                <w:rFonts w:ascii="Cambria" w:hAnsi="Cambria"/>
                <w:sz w:val="16"/>
                <w:szCs w:val="16"/>
              </w:rPr>
              <w:t>n) La construcción de estanques para la piscicultura;</w:t>
            </w:r>
          </w:p>
          <w:p w:rsidR="00325B14" w:rsidRPr="00325B14" w:rsidRDefault="00325B14" w:rsidP="00325B14">
            <w:pPr>
              <w:jc w:val="both"/>
              <w:rPr>
                <w:rFonts w:ascii="Cambria" w:hAnsi="Cambria"/>
                <w:sz w:val="16"/>
                <w:szCs w:val="16"/>
              </w:rPr>
            </w:pPr>
            <w:r w:rsidRPr="00325B14">
              <w:rPr>
                <w:rFonts w:ascii="Cambria" w:hAnsi="Cambria"/>
                <w:sz w:val="16"/>
                <w:szCs w:val="16"/>
              </w:rPr>
              <w:t>o) Los programas de sanidad animal;</w:t>
            </w:r>
          </w:p>
          <w:p w:rsidR="00325B14" w:rsidRPr="00325B14" w:rsidRDefault="00325B14" w:rsidP="00325B14">
            <w:pPr>
              <w:jc w:val="both"/>
              <w:rPr>
                <w:rFonts w:ascii="Cambria" w:hAnsi="Cambria"/>
                <w:sz w:val="16"/>
                <w:szCs w:val="16"/>
              </w:rPr>
            </w:pPr>
            <w:r w:rsidRPr="00325B14">
              <w:rPr>
                <w:rFonts w:ascii="Cambria" w:hAnsi="Cambria"/>
                <w:sz w:val="16"/>
                <w:szCs w:val="16"/>
              </w:rPr>
              <w:t>p) La perforación de pozos profundos para la extracción de agua;</w:t>
            </w:r>
          </w:p>
          <w:p w:rsidR="00325B14" w:rsidRPr="00325B14" w:rsidRDefault="00325B14" w:rsidP="00325B14">
            <w:pPr>
              <w:jc w:val="both"/>
              <w:rPr>
                <w:rFonts w:ascii="Cambria" w:hAnsi="Cambria"/>
                <w:sz w:val="16"/>
                <w:szCs w:val="16"/>
              </w:rPr>
            </w:pPr>
            <w:r w:rsidRPr="00325B14">
              <w:rPr>
                <w:rFonts w:ascii="Cambria" w:hAnsi="Cambria"/>
                <w:sz w:val="16"/>
                <w:szCs w:val="16"/>
              </w:rPr>
              <w:t>q) El desmonte de algodón, la trilla y el secamiento de productos agrícolas;</w:t>
            </w:r>
          </w:p>
          <w:p w:rsidR="00325B14" w:rsidRPr="00325B14" w:rsidRDefault="00325B14" w:rsidP="00325B14">
            <w:pPr>
              <w:jc w:val="both"/>
              <w:rPr>
                <w:rFonts w:ascii="Cambria" w:hAnsi="Cambria"/>
                <w:sz w:val="16"/>
                <w:szCs w:val="16"/>
              </w:rPr>
            </w:pPr>
            <w:r w:rsidRPr="00325B14">
              <w:rPr>
                <w:rFonts w:ascii="Cambria" w:hAnsi="Cambria"/>
                <w:sz w:val="16"/>
                <w:szCs w:val="16"/>
              </w:rPr>
              <w:t>r) La selección, clasificación y el empaque de productos agropecuarios sin procesamiento industrial</w:t>
            </w:r>
          </w:p>
          <w:p w:rsidR="00325B14" w:rsidRPr="00325B14" w:rsidRDefault="00325B14" w:rsidP="00325B14">
            <w:pPr>
              <w:jc w:val="both"/>
              <w:rPr>
                <w:rFonts w:ascii="Cambria" w:hAnsi="Cambria"/>
                <w:sz w:val="16"/>
                <w:szCs w:val="16"/>
              </w:rPr>
            </w:pPr>
            <w:r w:rsidRPr="00325B14">
              <w:rPr>
                <w:rFonts w:ascii="Cambria" w:hAnsi="Cambria"/>
                <w:sz w:val="16"/>
                <w:szCs w:val="16"/>
              </w:rPr>
              <w:t>s) La asistencia técnica en el sector agropecuario;</w:t>
            </w:r>
          </w:p>
          <w:p w:rsidR="00325B14" w:rsidRPr="00325B14" w:rsidRDefault="00325B14" w:rsidP="00325B14">
            <w:pPr>
              <w:jc w:val="both"/>
              <w:rPr>
                <w:rFonts w:ascii="Cambria" w:hAnsi="Cambria"/>
                <w:sz w:val="16"/>
                <w:szCs w:val="16"/>
              </w:rPr>
            </w:pPr>
            <w:r w:rsidRPr="00325B14">
              <w:rPr>
                <w:rFonts w:ascii="Cambria" w:hAnsi="Cambria"/>
                <w:sz w:val="16"/>
                <w:szCs w:val="16"/>
              </w:rPr>
              <w:t>t) La captura, procesamiento y comercialización de productos pesqueros;</w:t>
            </w:r>
          </w:p>
          <w:p w:rsidR="00325B14" w:rsidRPr="00325B14" w:rsidRDefault="00325B14" w:rsidP="00325B14">
            <w:pPr>
              <w:jc w:val="both"/>
              <w:rPr>
                <w:rFonts w:ascii="Cambria" w:hAnsi="Cambria"/>
                <w:sz w:val="16"/>
                <w:szCs w:val="16"/>
              </w:rPr>
            </w:pPr>
            <w:r w:rsidRPr="00325B14">
              <w:rPr>
                <w:rFonts w:ascii="Cambria" w:hAnsi="Cambria"/>
                <w:sz w:val="16"/>
                <w:szCs w:val="16"/>
              </w:rPr>
              <w:t>u) El servicio de recaudo de derechos de acceso vehicular a las centrales mayoristas de abasto.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Los usuarios de los servicios excluidos por el presente numeral deberán expedir una certificación a quien preste el servicio, en donde conste la destinación, el valor y el nombre e identificación del mismo. Quien preste el servicio deberá conservar dicha certificación durante el plazo señalado en el artículo </w:t>
            </w:r>
            <w:hyperlink r:id="rId86" w:anchor="632" w:history="1">
              <w:r w:rsidRPr="00325B14">
                <w:rPr>
                  <w:rStyle w:val="Hipervnculo"/>
                  <w:rFonts w:ascii="Cambria" w:hAnsi="Cambria" w:cs="Arial"/>
                  <w:color w:val="0073FF"/>
                  <w:sz w:val="16"/>
                  <w:szCs w:val="16"/>
                </w:rPr>
                <w:t>632</w:t>
              </w:r>
            </w:hyperlink>
            <w:r w:rsidRPr="00325B14">
              <w:rPr>
                <w:rFonts w:ascii="Cambria" w:hAnsi="Cambria"/>
                <w:sz w:val="16"/>
                <w:szCs w:val="16"/>
              </w:rPr>
              <w:t> del Estatuto Tributario, la cual servirá como soporte para la exclusión de los servicios.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 xml:space="preserve">25. La comercialización de animales vivos, excepto los animales domésticos de compañía </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25A.  El servicio de faenamiento.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26. Están excluidos de IVA los servicios de hotelería y turismo que sean prestados en los municipios que integran las siguientes zonas de régimen aduanero especial:</w:t>
            </w:r>
          </w:p>
          <w:p w:rsidR="00325B14" w:rsidRPr="00325B14" w:rsidRDefault="00325B14" w:rsidP="00325B14">
            <w:pPr>
              <w:jc w:val="both"/>
              <w:rPr>
                <w:rFonts w:ascii="Cambria" w:hAnsi="Cambria"/>
                <w:sz w:val="16"/>
                <w:szCs w:val="16"/>
              </w:rPr>
            </w:pPr>
            <w:r w:rsidRPr="00325B14">
              <w:rPr>
                <w:rFonts w:ascii="Cambria" w:hAnsi="Cambria"/>
                <w:sz w:val="16"/>
                <w:szCs w:val="16"/>
              </w:rPr>
              <w:t xml:space="preserve"> a) Zona de régimen aduanero especial de Urabá, Tumaco y Guapi.</w:t>
            </w:r>
          </w:p>
          <w:p w:rsidR="00325B14" w:rsidRPr="00325B14" w:rsidRDefault="00325B14" w:rsidP="00325B14">
            <w:pPr>
              <w:jc w:val="both"/>
              <w:rPr>
                <w:rFonts w:ascii="Cambria" w:hAnsi="Cambria"/>
                <w:sz w:val="16"/>
                <w:szCs w:val="16"/>
              </w:rPr>
            </w:pPr>
            <w:r w:rsidRPr="00325B14">
              <w:rPr>
                <w:rFonts w:ascii="Cambria" w:hAnsi="Cambria"/>
                <w:sz w:val="16"/>
                <w:szCs w:val="16"/>
              </w:rPr>
              <w:t>b) Zona de régimen aduanero especial de Inírida, Puerto Carreño, La Primavera y Cumaribo.</w:t>
            </w:r>
          </w:p>
          <w:p w:rsidR="00325B14" w:rsidRPr="00325B14" w:rsidRDefault="00325B14" w:rsidP="00325B14">
            <w:pPr>
              <w:jc w:val="both"/>
              <w:rPr>
                <w:rFonts w:ascii="Cambria" w:hAnsi="Cambria"/>
                <w:sz w:val="16"/>
                <w:szCs w:val="16"/>
              </w:rPr>
            </w:pPr>
            <w:r w:rsidRPr="00325B14">
              <w:rPr>
                <w:rFonts w:ascii="Cambria" w:hAnsi="Cambria"/>
                <w:sz w:val="16"/>
                <w:szCs w:val="16"/>
              </w:rPr>
              <w:t>c) Zona de régimen aduanero especial de Maicao, Uribia y Manaure.</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27. Las operaciones cambiarias de compra y venta de divisas, así como las operaciones cambiarias sobre instrumentos derivados financieros.</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28. Las comisiones percibidas por la utilización de tarjetas crédito y débito.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29. Los servicios de promoción y fomento deportivo prestados por los clubes deportivos definidos en el artículo </w:t>
            </w:r>
            <w:hyperlink r:id="rId87" w:anchor="2" w:history="1">
              <w:r w:rsidRPr="00325B14">
                <w:rPr>
                  <w:rStyle w:val="Hipervnculo"/>
                  <w:rFonts w:ascii="Cambria" w:hAnsi="Cambria" w:cs="Arial"/>
                  <w:color w:val="0073FF"/>
                  <w:sz w:val="16"/>
                  <w:szCs w:val="16"/>
                </w:rPr>
                <w:t>2o</w:t>
              </w:r>
            </w:hyperlink>
            <w:r w:rsidRPr="00325B14">
              <w:rPr>
                <w:rFonts w:ascii="Cambria" w:hAnsi="Cambria"/>
                <w:sz w:val="16"/>
                <w:szCs w:val="16"/>
              </w:rPr>
              <w:t> del Decreto Ley 1228 de 1995.</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30. Los servicios de reparación y mantenimiento de naves y artefactos navales tanto marítimos como fluviales de bandera colombiana, excepto los servicios que se encuentran en el literal P) del numeral 3 del artículo </w:t>
            </w:r>
            <w:hyperlink r:id="rId88" w:anchor="477" w:history="1">
              <w:r w:rsidRPr="00325B14">
                <w:rPr>
                  <w:rStyle w:val="Hipervnculo"/>
                  <w:rFonts w:ascii="Cambria" w:hAnsi="Cambria" w:cs="Arial"/>
                  <w:color w:val="0073FF"/>
                  <w:sz w:val="16"/>
                  <w:szCs w:val="16"/>
                </w:rPr>
                <w:t>477</w:t>
              </w:r>
            </w:hyperlink>
            <w:r w:rsidRPr="00325B14">
              <w:rPr>
                <w:rFonts w:ascii="Cambria" w:hAnsi="Cambria"/>
                <w:sz w:val="16"/>
                <w:szCs w:val="16"/>
              </w:rPr>
              <w:t> de este Estatuto.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31. Los servicios de publicidad en periódicos que registren ventas en publicidad a 31 de diciembre del año inmediatamente anterior inferiores a 180.000 UVT.</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La publicidad en las emisoras de radio cuyas ventas sean inferiores a 30.000 UVT al 31 de diciembre del año inmediatamente anterior y programadoras de canales regionales de televisión cuyas ventas sean inferiores a 60.000 UVT al 31 de diciembre del año inmediatamente anterior. Aquellas que superen este monto se regirán por la regla general.</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Las exclusiones previstas en este numeral no se aplicarán a las empresas que surjan como consecuencia de la escisión de sociedades que antes de la expedición de la presente ley conformen una sola empresa ni a las nuevas empresas que se creen cuya matriz o empresa dominante se encuentre gravada con el IVA por este concepto.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32. Los servicios de corretaje de contratos de reaseguros.</w:t>
            </w:r>
          </w:p>
          <w:p w:rsidR="00325B14" w:rsidRPr="00325B14" w:rsidRDefault="00325B14" w:rsidP="00325B14">
            <w:pPr>
              <w:jc w:val="both"/>
              <w:rPr>
                <w:rStyle w:val="baj"/>
                <w:rFonts w:ascii="Cambria" w:hAnsi="Cambria"/>
                <w:b/>
                <w:bCs/>
                <w:color w:val="000000"/>
                <w:sz w:val="16"/>
                <w:szCs w:val="16"/>
              </w:rPr>
            </w:pPr>
          </w:p>
          <w:p w:rsidR="00325B14" w:rsidRPr="00325B14" w:rsidRDefault="00325B14" w:rsidP="00325B14">
            <w:pPr>
              <w:jc w:val="both"/>
              <w:rPr>
                <w:rFonts w:ascii="Cambria" w:hAnsi="Cambria"/>
                <w:sz w:val="16"/>
                <w:szCs w:val="16"/>
              </w:rPr>
            </w:pPr>
            <w:r w:rsidRPr="00325B14">
              <w:rPr>
                <w:rStyle w:val="baj"/>
                <w:rFonts w:ascii="Cambria" w:hAnsi="Cambria"/>
                <w:b/>
                <w:bCs/>
                <w:color w:val="000000"/>
                <w:sz w:val="16"/>
                <w:szCs w:val="16"/>
              </w:rPr>
              <w:t>PARÁGRAFO. </w:t>
            </w:r>
            <w:r w:rsidRPr="00325B14">
              <w:rPr>
                <w:rFonts w:ascii="Cambria" w:hAnsi="Cambria"/>
                <w:sz w:val="16"/>
                <w:szCs w:val="16"/>
              </w:rPr>
              <w:t>En los casos de trabajos de fabricación, elaboración o construcción de bienes corporales muebles, realizados por encargo de terceros, incluidos los destinados a convertirse en inmuebles por accesión, con o sin aporte de materias primas, ya sea que supongan la obtención del producto final o constituyan una etapa de su fabricación, elaboración, construcción o puesta en condiciones de utilización, la tarifa aplicable es la que corresponda al bien que resulte de la prestación del servicio.</w:t>
            </w:r>
          </w:p>
          <w:p w:rsidR="00325B14" w:rsidRPr="00325B14" w:rsidRDefault="00325B14" w:rsidP="00325B14">
            <w:pPr>
              <w:jc w:val="both"/>
              <w:rPr>
                <w:rFonts w:ascii="Cambria" w:hAnsi="Cambria"/>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Lo dispuesto en el presente parágrafo no aplica para las industrias de minería e hidrocarburos.</w:t>
            </w:r>
          </w:p>
          <w:p w:rsidR="00325B14" w:rsidRPr="00325B14" w:rsidRDefault="00325B14" w:rsidP="00325B14">
            <w:pPr>
              <w:jc w:val="both"/>
              <w:rPr>
                <w:rFonts w:ascii="Cambria" w:hAnsi="Cambria"/>
                <w:b/>
                <w:sz w:val="16"/>
                <w:szCs w:val="16"/>
              </w:rPr>
            </w:pPr>
          </w:p>
          <w:p w:rsidR="00325B14" w:rsidRPr="00325B14" w:rsidRDefault="00325B14" w:rsidP="00325B14">
            <w:pPr>
              <w:jc w:val="both"/>
              <w:rPr>
                <w:rFonts w:ascii="Cambria" w:hAnsi="Cambria"/>
                <w:sz w:val="16"/>
                <w:szCs w:val="16"/>
              </w:rPr>
            </w:pPr>
            <w:r w:rsidRPr="00325B14">
              <w:rPr>
                <w:rFonts w:ascii="Cambria" w:hAnsi="Cambria"/>
                <w:sz w:val="16"/>
                <w:szCs w:val="16"/>
              </w:rPr>
              <w:t>PARÁGRAFO 2. Para los efectos del presente artículo y de conformidad con la reglamentación vigente expedida por el Ministerio de Salud y el Instituto Colombiano Agropecuario, se entienden como animales domésticos de compañía los gatos, perros, hurones, conejos, chinchillas, hámster, cobayos, jerbos y Mini-</w:t>
            </w:r>
            <w:proofErr w:type="spellStart"/>
            <w:r w:rsidRPr="00325B14">
              <w:rPr>
                <w:rFonts w:ascii="Cambria" w:hAnsi="Cambria"/>
                <w:sz w:val="16"/>
                <w:szCs w:val="16"/>
              </w:rPr>
              <w:t>Pigs</w:t>
            </w:r>
            <w:proofErr w:type="spellEnd"/>
            <w:r w:rsidRPr="00325B14">
              <w:rPr>
                <w:rFonts w:ascii="Cambria" w:hAnsi="Cambria"/>
                <w:sz w:val="16"/>
                <w:szCs w:val="16"/>
              </w:rPr>
              <w:t> </w:t>
            </w:r>
          </w:p>
          <w:p w:rsidR="00325B14" w:rsidRPr="00325B14" w:rsidRDefault="00325B14" w:rsidP="00325B14">
            <w:pPr>
              <w:jc w:val="both"/>
              <w:rPr>
                <w:rFonts w:ascii="Cambria" w:hAnsi="Cambria"/>
                <w:b/>
                <w:sz w:val="16"/>
                <w:szCs w:val="16"/>
              </w:rPr>
            </w:pPr>
          </w:p>
        </w:tc>
      </w:tr>
      <w:tr w:rsidR="00F84688" w:rsidTr="0059378C">
        <w:tc>
          <w:tcPr>
            <w:tcW w:w="4958" w:type="dxa"/>
          </w:tcPr>
          <w:p w:rsidR="00F84688" w:rsidRPr="002F1983" w:rsidRDefault="00F84688" w:rsidP="00F84688">
            <w:pPr>
              <w:jc w:val="both"/>
              <w:rPr>
                <w:rFonts w:ascii="Cambria" w:hAnsi="Cambria"/>
                <w:sz w:val="16"/>
                <w:szCs w:val="16"/>
              </w:rPr>
            </w:pPr>
            <w:r w:rsidRPr="002F1983">
              <w:rPr>
                <w:rFonts w:ascii="Cambria" w:hAnsi="Cambria"/>
                <w:b/>
                <w:bCs/>
                <w:color w:val="000000" w:themeColor="text1"/>
                <w:sz w:val="16"/>
                <w:szCs w:val="16"/>
              </w:rPr>
              <w:lastRenderedPageBreak/>
              <w:t>Articulo 477. Bienes que se encuentran exentos del impuesto</w:t>
            </w:r>
            <w:r>
              <w:rPr>
                <w:rFonts w:ascii="Cambria" w:hAnsi="Cambria"/>
                <w:b/>
                <w:bCs/>
                <w:color w:val="000000" w:themeColor="text1"/>
                <w:sz w:val="16"/>
                <w:szCs w:val="16"/>
              </w:rPr>
              <w:t>.</w:t>
            </w:r>
            <w:r w:rsidRPr="002F1983">
              <w:rPr>
                <w:rFonts w:ascii="Cambria" w:hAnsi="Cambria"/>
                <w:b/>
                <w:bCs/>
                <w:color w:val="BE9E55"/>
                <w:sz w:val="16"/>
                <w:szCs w:val="16"/>
              </w:rPr>
              <w:t>.</w:t>
            </w:r>
            <w:r w:rsidRPr="002F1983">
              <w:rPr>
                <w:rFonts w:ascii="Cambria" w:hAnsi="Cambria"/>
                <w:sz w:val="16"/>
                <w:szCs w:val="16"/>
              </w:rPr>
              <w:t>  Están exentos del impuesto sobre las ventas, con derecho a compensación y devolución, los siguientes bienes:</w:t>
            </w:r>
          </w:p>
          <w:p w:rsidR="00F84688" w:rsidRPr="002F1983" w:rsidRDefault="00F84688" w:rsidP="00F84688">
            <w:pPr>
              <w:jc w:val="both"/>
              <w:rPr>
                <w:rFonts w:ascii="Cambria" w:hAnsi="Cambria"/>
                <w:sz w:val="16"/>
                <w:szCs w:val="16"/>
              </w:rPr>
            </w:pPr>
          </w:p>
          <w:p w:rsidR="00F84688"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tbl>
            <w:tblPr>
              <w:tblW w:w="435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3"/>
              <w:gridCol w:w="3246"/>
            </w:tblGrid>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01.02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Animales vivos de la especie bovina, excepto los de lidia.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01.05.11.00.00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Pollitos de un día de nacidos.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bovina, fresca o refrigerada.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bovina, congelada.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lastRenderedPageBreak/>
                    <w:t>02.03</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porcina, fresca, refrigerada o congelada.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02.04</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las especies ovina o caprina, fresca, refrigerada o congelada.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02.06</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Despojos comestibles de animales de las especies bovina, porcina, ovina, caprina, caballar, asnal o mular, frescos, refrigerados o congelados.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02.07</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y despojos comestibles, de aves de la partida 01.05, frescos, refrigerados o congelados.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02.08.10.00.00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Carnes y despojos comestibles de conejo o liebre, frescos, refrigerados o congelados.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02.08.90.00.00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carnes y despojos comestibles frescos, refrigerados o congelados de cuyes.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Pescado fresco o refrigerado, excepto los filetes y demás carne de pescado de la partida 03.04.</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03.03</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Pescado congelado, excepto los filetes y demás carne de pescado de la partida 03.04. Excepto los atunes de las partidas 03.03.41.00.00, 03.03.42.00.00 y 03.03.45.00.00.</w:t>
                  </w: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03.04</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Filetes y demás carne de pescado (incluso picada), frescos, refrigerados o congelados.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03.06</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camarones de cultivo.</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Leche y nata (crema), sin concentrar, sin adición de azúcar ni otro edulcorante.</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Leche y nata (crema), concentradas o con adición de azúcar u otro edulcorante.</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04.06.10.00.00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Queso fresco (sin madurar), incluido el lactosuero, y requesón</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04.07.11.00.00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 xml:space="preserve">Huevos de gallina de la especie </w:t>
                  </w:r>
                  <w:proofErr w:type="spellStart"/>
                  <w:r w:rsidRPr="002F1983">
                    <w:rPr>
                      <w:rFonts w:ascii="Cambria" w:hAnsi="Cambria"/>
                      <w:sz w:val="16"/>
                      <w:szCs w:val="16"/>
                    </w:rPr>
                    <w:t>Gallusdomesticus</w:t>
                  </w:r>
                  <w:proofErr w:type="spellEnd"/>
                  <w:r w:rsidRPr="002F1983">
                    <w:rPr>
                      <w:rFonts w:ascii="Cambria" w:hAnsi="Cambria"/>
                      <w:sz w:val="16"/>
                      <w:szCs w:val="16"/>
                    </w:rPr>
                    <w:t>, fecundados para incubación.</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04.07.19.00.00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fecundados para incubación de las demás aves</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04.07.21.90.00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frescos de gallina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04.07.29.90.00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frescos de las demás aves</w:t>
                  </w: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sz w:val="16"/>
                      <w:szCs w:val="16"/>
                    </w:rPr>
                    <w:t>10.06</w:t>
                  </w:r>
                </w:p>
              </w:tc>
              <w:tc>
                <w:tcPr>
                  <w:tcW w:w="3967" w:type="pct"/>
                </w:tcPr>
                <w:p w:rsidR="00F84688" w:rsidRPr="002F1983" w:rsidRDefault="00F84688" w:rsidP="00F84688">
                  <w:pPr>
                    <w:jc w:val="both"/>
                    <w:rPr>
                      <w:rFonts w:ascii="Cambria" w:hAnsi="Cambria"/>
                      <w:sz w:val="16"/>
                      <w:szCs w:val="16"/>
                    </w:rPr>
                  </w:pPr>
                  <w:r w:rsidRPr="002F1983">
                    <w:rPr>
                      <w:rFonts w:ascii="Cambria" w:hAnsi="Cambria"/>
                      <w:sz w:val="16"/>
                      <w:szCs w:val="16"/>
                    </w:rPr>
                    <w:t xml:space="preserve">Arroz para consumo humano (excepto el arroz con cáscara o “Arroz </w:t>
                  </w:r>
                  <w:proofErr w:type="spellStart"/>
                  <w:r w:rsidRPr="002F1983">
                    <w:rPr>
                      <w:rFonts w:ascii="Cambria" w:hAnsi="Cambria"/>
                      <w:sz w:val="16"/>
                      <w:szCs w:val="16"/>
                    </w:rPr>
                    <w:t>Paddy</w:t>
                  </w:r>
                  <w:proofErr w:type="spellEnd"/>
                  <w:r w:rsidRPr="002F1983">
                    <w:rPr>
                      <w:rFonts w:ascii="Cambria" w:hAnsi="Cambria"/>
                      <w:sz w:val="16"/>
                      <w:szCs w:val="16"/>
                    </w:rPr>
                    <w:t>” de la partida 10.06.10.90.00 y el arroz para la siembra de la partida 10.06.10.10.00, los cuales conservan la calidad de bienes excluidos del IVA)”.</w:t>
                  </w: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19.01.10.10.00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Fórmulas lácteas para niños de hasta 12 meses de edad, únicamente la leche maternizada o humanizada.</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19.01.10.99.00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preparaciones infantiles a base de leche.</w:t>
                  </w: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sz w:val="16"/>
                      <w:szCs w:val="16"/>
                    </w:rPr>
                    <w:t>29.36</w:t>
                  </w:r>
                </w:p>
              </w:tc>
              <w:tc>
                <w:tcPr>
                  <w:tcW w:w="3967" w:type="pct"/>
                </w:tcPr>
                <w:p w:rsidR="00F84688" w:rsidRPr="002F1983" w:rsidRDefault="00F84688" w:rsidP="00F84688">
                  <w:pPr>
                    <w:jc w:val="both"/>
                    <w:rPr>
                      <w:rFonts w:ascii="Cambria" w:hAnsi="Cambria"/>
                      <w:sz w:val="16"/>
                      <w:szCs w:val="16"/>
                    </w:rPr>
                  </w:pPr>
                  <w:r w:rsidRPr="002F1983">
                    <w:rPr>
                      <w:rFonts w:ascii="Cambria" w:hAnsi="Cambria"/>
                      <w:sz w:val="16"/>
                      <w:szCs w:val="16"/>
                    </w:rPr>
                    <w:t>Provitaminas y vitaminas, naturales o reproducidas por síntesis (incluidos los concentrados naturales) y sus derivados utilizados principalmente como vitaminas, mezclados o no entre sí o en disoluciones de cualquier clase</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29.41</w:t>
                  </w:r>
                </w:p>
              </w:tc>
              <w:tc>
                <w:tcPr>
                  <w:tcW w:w="3967" w:type="pct"/>
                  <w:vAlign w:val="center"/>
                </w:tcPr>
                <w:p w:rsidR="00F84688" w:rsidRPr="002F1983" w:rsidRDefault="00F84688" w:rsidP="00F84688">
                  <w:pPr>
                    <w:jc w:val="both"/>
                    <w:rPr>
                      <w:rFonts w:ascii="Cambria" w:hAnsi="Cambria" w:cstheme="minorHAnsi"/>
                      <w:sz w:val="16"/>
                      <w:szCs w:val="16"/>
                      <w:lang w:eastAsia="es-CO"/>
                    </w:rPr>
                  </w:pPr>
                  <w:r w:rsidRPr="002F1983">
                    <w:rPr>
                      <w:rFonts w:ascii="Cambria" w:hAnsi="Cambria" w:cstheme="minorHAnsi"/>
                      <w:sz w:val="16"/>
                      <w:szCs w:val="16"/>
                      <w:lang w:eastAsia="es-CO"/>
                    </w:rPr>
                    <w:t>Antibióticos.</w:t>
                  </w: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lastRenderedPageBreak/>
                    <w:t>30.01</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Glándulas y demás órganos para usos opoterápicos, desecados, incluso pulverizados, extracto de glándulas o de otros órganos o de sus secreciones, para usos opoterápicos, heparina y sus sales, las demás sustancias humanas o animales preparadas para usos terapéuticos o profilácticos, no expresadas ni comprendidos en otra parte.</w:t>
                  </w: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30.02</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Sangre humana, sangre animal preparada para usos terapéuticos, profilácticos o de diagnóstico, antisueros (sueros con anticuerpos), demás fracciones de la sangre y productos inmunológicos modificados, incluso obtenidos por proceso biotecnológico, vacunas, toxinas, cultivos de microrganismos (excepto las levaduras) y productos similares.</w:t>
                  </w: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30.03</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Medicamentos (excepto los productos de las partidas 30.02, 30.05 o 30.06) constituidos por productos mezclados entre sí, preparados para usos terapéuticos o profilácticos, sin dosificar ni acondicionar para la venta al por menor.</w:t>
                  </w: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30.04</w:t>
                  </w:r>
                </w:p>
              </w:tc>
              <w:tc>
                <w:tcPr>
                  <w:tcW w:w="3967" w:type="pct"/>
                  <w:vAlign w:val="center"/>
                </w:tcPr>
                <w:p w:rsidR="00F84688" w:rsidRPr="002F1983" w:rsidRDefault="00F84688" w:rsidP="00F84688">
                  <w:pPr>
                    <w:jc w:val="both"/>
                    <w:rPr>
                      <w:rFonts w:ascii="Cambria" w:hAnsi="Cambria" w:cstheme="minorHAnsi"/>
                      <w:sz w:val="16"/>
                      <w:szCs w:val="16"/>
                      <w:lang w:eastAsia="es-CO"/>
                    </w:rPr>
                  </w:pPr>
                  <w:r w:rsidRPr="002F1983">
                    <w:rPr>
                      <w:rFonts w:ascii="Cambria" w:hAnsi="Cambria" w:cstheme="minorHAnsi"/>
                      <w:sz w:val="16"/>
                      <w:szCs w:val="16"/>
                      <w:lang w:eastAsia="es-CO"/>
                    </w:rPr>
                    <w:t>Medicamentos (excepto los productos de las partidas 30.02, 30.05 o 30.06) constituidos por productos mezclados o sin mezclar preparados para usos terapéuticos o profilácticos, dosificados o acondicionados para la venta al por menor.</w:t>
                  </w: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30.06</w:t>
                  </w:r>
                </w:p>
              </w:tc>
              <w:tc>
                <w:tcPr>
                  <w:tcW w:w="3967" w:type="pct"/>
                </w:tcPr>
                <w:p w:rsidR="00F84688" w:rsidRPr="002F1983" w:rsidRDefault="00F84688" w:rsidP="00F84688">
                  <w:pPr>
                    <w:rPr>
                      <w:rFonts w:ascii="Cambria" w:hAnsi="Cambria" w:cstheme="minorHAnsi"/>
                      <w:sz w:val="16"/>
                      <w:szCs w:val="16"/>
                      <w:lang w:eastAsia="es-CO"/>
                    </w:rPr>
                  </w:pPr>
                  <w:r w:rsidRPr="002F1983">
                    <w:rPr>
                      <w:rFonts w:ascii="Cambria" w:hAnsi="Cambria" w:cstheme="minorHAnsi"/>
                      <w:sz w:val="16"/>
                      <w:szCs w:val="16"/>
                      <w:lang w:eastAsia="es-CO"/>
                    </w:rPr>
                    <w:t xml:space="preserve">Preparaciones y artículos farmacéuticos a que se refiere la nota 4 de este capítulo. </w:t>
                  </w:r>
                </w:p>
                <w:p w:rsidR="00F84688" w:rsidRPr="002F1983" w:rsidRDefault="00F84688" w:rsidP="00F84688">
                  <w:pPr>
                    <w:jc w:val="both"/>
                    <w:rPr>
                      <w:rFonts w:ascii="Cambria" w:hAnsi="Cambria"/>
                      <w:sz w:val="16"/>
                      <w:szCs w:val="16"/>
                    </w:rPr>
                  </w:pP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93.01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Armas de guerra, excepto los revólveres, pistolas y armas blancas, de uso privativo de las fuerzas Militares y la Policía Nacional</w:t>
                  </w:r>
                </w:p>
              </w:tc>
            </w:tr>
            <w:tr w:rsidR="00F84688" w:rsidRPr="002F1983" w:rsidTr="009708F4">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u w:val="single"/>
                    </w:rPr>
                    <w:t>96.19</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u w:val="single"/>
                    </w:rPr>
                    <w:t>Compresas y toallas higiénicas</w:t>
                  </w:r>
                  <w:r w:rsidRPr="002F1983">
                    <w:rPr>
                      <w:rFonts w:ascii="Cambria" w:hAnsi="Cambria"/>
                      <w:sz w:val="16"/>
                      <w:szCs w:val="16"/>
                    </w:rPr>
                    <w:t> &lt;Texto adicionado en cumplimiento a lo ordenado por la Corte Constitucional en Sentencia C-117-18&gt;  </w:t>
                  </w:r>
                </w:p>
              </w:tc>
            </w:tr>
          </w:tbl>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Adicionalmente:</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F84688">
              <w:rPr>
                <w:rFonts w:ascii="Cambria" w:hAnsi="Cambria"/>
                <w:sz w:val="16"/>
                <w:szCs w:val="16"/>
                <w:highlight w:val="yellow"/>
              </w:rPr>
              <w:t>1. Alcohol carburante con destino a la mezcla con gasolina para los vehículos automotores y el biocombustible de origen vegetal o animal para uso en motores diésel de producción nacional con destino a la mezcla con ACPM.</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2. Derogado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3. Las municiones y material de guerra o reservado y por consiguiente de uso privativo y los siguientes elementos pertenecientes a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a) Sistemas de armas y armamento mayor y menor de todos los tipos, modelos y calibres con sus accesorios repuestos y los elementos necesarios para la instrucción de tiro, operación, manejo y mantenimiento de los mismos;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lastRenderedPageBreak/>
              <w:t>b) Todo tipo de naves, artefactos navales y aeronaves destinadas al servicio del Ramo de Defensa Nacional, con sus accesorios, repuestos y demás elementos necesarios para su operabilidad y funcionamiento;</w:t>
            </w:r>
          </w:p>
          <w:p w:rsidR="00F84688" w:rsidRDefault="00F84688" w:rsidP="00F84688">
            <w:pPr>
              <w:jc w:val="both"/>
              <w:rPr>
                <w:rFonts w:ascii="Cambria" w:hAnsi="Cambria"/>
                <w:sz w:val="16"/>
                <w:szCs w:val="16"/>
              </w:rPr>
            </w:pPr>
          </w:p>
          <w:p w:rsidR="00F84688" w:rsidRDefault="00F84688" w:rsidP="00F84688">
            <w:pPr>
              <w:jc w:val="both"/>
              <w:rPr>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c) Municiones, torpedos y minas de todos los tipos, clases y calibres para los sistemas de armas y el armamento mayor y menor que usan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d) Material blindado;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e) Semovientes de todas las clases y razas destinadas al mantenimiento del orden público, interno o externo;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f) Materiales explosivos y pirotécnicos, materias primas para su fabricación y accesorios para su empleo;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g) Paracaídas y equipos de salto para Unidades Aerotransportadas, incluidos los necesarios para su mantenimiento;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h) Elementos, equipos y accesorios contra motines;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i) Los equipos de ingenieros de combate con sus accesorios y repuestos;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j) Equipos de buceo y de voladuras submarinas, sus repuestos y accesorios;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k) Equipos de detección aérea, de superficie y submarina sus accesorios, repuestos, equipos de sintonía y calibración;</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l) Elementos para control de incendios y de averías, sus accesorios y repuestos;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m) Herramientas y equipos para pruebas y mantenimiento del material de guerra o reservado;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n) Equipos, software y demás implementos de sistemas y comunicaciones para uso de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o) Otros elementos aplicables al servicio y fabricación del material de guerra o reservado;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p) Los servicios de diseño, construcción y mantenimiento de armas, municiones y material de guerra, con destino a la fuerza pública, así como la capacitación de tripulaciones de las Fuerza Pública, prestados por las entidades descentralizadas del orden nacional de sector defensa.</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Arial" w:hAnsi="Arial" w:cs="Arial"/>
                <w:sz w:val="16"/>
                <w:szCs w:val="16"/>
              </w:rPr>
              <w:t>4</w:t>
            </w:r>
            <w:r w:rsidRPr="002F1983">
              <w:rPr>
                <w:rFonts w:ascii="Cambria" w:hAnsi="Cambria"/>
                <w:sz w:val="16"/>
                <w:szCs w:val="16"/>
              </w:rPr>
              <w:t>. Los vehículos automotores de transporte público de pasajeros completos y el chasis con motor y la carrocería adquiridos individualmente para conformar un vehículo automotor completo nuevo, de transporte público de pasajeros. Este beneficio será aplicable a las ventas hechas a pequeños transportadores propietarios de hasta de dos (2) vehículos y para efectos de la reposición de uno o dos vehículos propios, por una única vez. Este beneficio tendrá vigencia de cinco (5) años. </w:t>
            </w:r>
          </w:p>
          <w:p w:rsidR="00F84688"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5. Los vehículos automotores de servicio público o particular, de transporte de carga completos y el chasis con motor y la carrocería adquiridos individualmente para conformar un vehículo automotor completo nuevo de transporte de carga de más de 10.5 toneladas de peso bruto vehicular. Este beneficio será aplicable a las ventas hechas a pequeños transportadores propietarios de hasta de dos (2) vehículos y para efectos de la reposición de uno o dos vehículos </w:t>
            </w:r>
            <w:r w:rsidRPr="002F1983">
              <w:rPr>
                <w:rFonts w:ascii="Cambria" w:hAnsi="Cambria"/>
                <w:sz w:val="16"/>
                <w:szCs w:val="16"/>
              </w:rPr>
              <w:lastRenderedPageBreak/>
              <w:t>propios, por una única vez. Este beneficio tendrá vigencia de cinco (5) años. </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6. Las bicicletas y sus partes; motocicletas y sus partes y motocarros y sus partes, que se introduzcan y comercialicen en los departamentos de Amazonas, Guainía, Guaviare, Vaupés y Vichada, siempre y cuando se destinen exclusivamente al consumo dentro del mismo departamento y las motocicletas y motocarros sean registrados en el departamento. También estarán exentos los bienes indicados anteriormente que se importen al territorio aduanero nacional y que se destinen posteriormente exclusivamente a estos departamentos.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Style w:val="baj"/>
                <w:rFonts w:ascii="Cambria" w:hAnsi="Cambria" w:cs="Arial"/>
                <w:b/>
                <w:bCs/>
                <w:color w:val="000000"/>
                <w:sz w:val="16"/>
                <w:szCs w:val="16"/>
              </w:rPr>
            </w:pPr>
            <w:r w:rsidRPr="002F1983">
              <w:rPr>
                <w:rFonts w:ascii="Cambria" w:hAnsi="Cambria"/>
                <w:sz w:val="16"/>
                <w:szCs w:val="16"/>
              </w:rPr>
              <w:t>El Gobierno nacional reglamentará la materia con el fin de que la exención del IVA se aplique en las ventas al consumidor final y para que los importadores de las referidas mercancías ubicados fuera de los citados territorios, puedan descontar a su favor en la cuenta corriente del IVA, el valor total del mismo, pagado en la nacionalización y las compras nacionales a que hubiere lugar, cuando estas mercancías se comercialicen con destino exclusivo al consumo en los referidos departamentos</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7. El consumo humano y animal, vestuario, elementos de aseo y medicamentos para uso humano o veterinario, materiales de construcción que se introduzcan y comercialicen al departamento de Amazonas, siempre y cuando se destinen exclusivamente al consumo dentro del mismo departamento. El Gobierno nacional reglamentará la materia para garantizar que la exención del IVA se aplique en las ventas al consumidor final. Adicionalmente, el tratamiento consagrado en este numeral será aplicable, siempre y cuando se cumpla con la totalidad de los siguientes requisitos: </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a. El adquiriente sea una sociedad constituida y domiciliada en el Departamento del Amazonas, y cuya actividad económica sea realizada únicamente en dicho Departamento. </w:t>
            </w:r>
          </w:p>
          <w:p w:rsidR="00F84688" w:rsidRPr="002F1983" w:rsidRDefault="00F84688" w:rsidP="00F84688">
            <w:pPr>
              <w:jc w:val="both"/>
              <w:rPr>
                <w:rFonts w:ascii="Cambria" w:hAnsi="Cambria"/>
                <w:sz w:val="16"/>
                <w:szCs w:val="16"/>
              </w:rPr>
            </w:pPr>
            <w:r w:rsidRPr="002F1983">
              <w:rPr>
                <w:rFonts w:ascii="Cambria" w:hAnsi="Cambria"/>
                <w:sz w:val="16"/>
                <w:szCs w:val="16"/>
              </w:rPr>
              <w:t xml:space="preserve">b. El adquiriente de los bienes de que trata este numeral debe estar inscrito en factura electrónica. </w:t>
            </w:r>
          </w:p>
          <w:p w:rsidR="00F84688" w:rsidRPr="002F1983" w:rsidRDefault="00F84688" w:rsidP="00F84688">
            <w:pPr>
              <w:jc w:val="both"/>
              <w:rPr>
                <w:rFonts w:ascii="Cambria" w:hAnsi="Cambria"/>
                <w:sz w:val="16"/>
                <w:szCs w:val="16"/>
              </w:rPr>
            </w:pPr>
            <w:r w:rsidRPr="002F1983">
              <w:rPr>
                <w:rFonts w:ascii="Cambria" w:hAnsi="Cambria"/>
                <w:sz w:val="16"/>
                <w:szCs w:val="16"/>
              </w:rPr>
              <w:t xml:space="preserve">c. El documento de transporte aéreo y/o fluvial de los bienes de que trata este numeral debe garantizar que las mercancías ingresan efectivamente al Departamento del Amazonas y son enajenados únicamente a consumidores finales ubicados únicamente en dicho Departamento. </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1o.</w:t>
            </w:r>
            <w:r w:rsidRPr="002F1983">
              <w:rPr>
                <w:rFonts w:ascii="Cambria" w:hAnsi="Cambria"/>
                <w:sz w:val="16"/>
                <w:szCs w:val="16"/>
              </w:rPr>
              <w:t xml:space="preserve"> No se consideran armas y municiones destinadas a la defensa nacional los uniformes, prendas de vestir, textiles, material térmico, carpas, </w:t>
            </w:r>
            <w:proofErr w:type="spellStart"/>
            <w:r w:rsidRPr="002F1983">
              <w:rPr>
                <w:rFonts w:ascii="Cambria" w:hAnsi="Cambria"/>
                <w:sz w:val="16"/>
                <w:szCs w:val="16"/>
              </w:rPr>
              <w:t>sintelitas</w:t>
            </w:r>
            <w:proofErr w:type="spellEnd"/>
            <w:r w:rsidRPr="002F1983">
              <w:rPr>
                <w:rFonts w:ascii="Cambria" w:hAnsi="Cambria"/>
                <w:sz w:val="16"/>
                <w:szCs w:val="16"/>
              </w:rPr>
              <w:t>, menaje, cubertería, marmitas, morrales, chalecos, juegos de cama, toallas, ponchos y calzado de uso privativo de las Fuerzas Militares y de Policía Nacional.</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2o. </w:t>
            </w:r>
            <w:r w:rsidRPr="002F1983">
              <w:rPr>
                <w:rFonts w:ascii="Cambria" w:hAnsi="Cambria"/>
                <w:sz w:val="16"/>
                <w:szCs w:val="16"/>
              </w:rPr>
              <w:t>Los productores de los bienes de que trata el presente artículo se consideran responsables del impuesto sobre las ventas, están obligados a llevar contabilidad para efectos fiscales, y serán susceptibles de devolución o compensación de los saldos a favor generados en los términos de lo establecido en el parágrafo primero del artículo </w:t>
            </w:r>
            <w:hyperlink r:id="rId89" w:anchor="850" w:history="1">
              <w:r w:rsidRPr="002F1983">
                <w:rPr>
                  <w:rStyle w:val="Hipervnculo"/>
                  <w:rFonts w:ascii="Cambria" w:hAnsi="Cambria" w:cs="Arial"/>
                  <w:color w:val="0073FF"/>
                  <w:sz w:val="16"/>
                  <w:szCs w:val="16"/>
                </w:rPr>
                <w:t>850</w:t>
              </w:r>
            </w:hyperlink>
            <w:r w:rsidRPr="002F1983">
              <w:rPr>
                <w:rFonts w:ascii="Cambria" w:hAnsi="Cambria"/>
                <w:sz w:val="16"/>
                <w:szCs w:val="16"/>
              </w:rPr>
              <w:t> de este Estatuto.</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3o. </w:t>
            </w:r>
            <w:r w:rsidRPr="002F1983">
              <w:rPr>
                <w:rFonts w:ascii="Cambria" w:hAnsi="Cambria"/>
                <w:sz w:val="16"/>
                <w:szCs w:val="16"/>
              </w:rPr>
              <w:t>Los productores de los bienes de que trata el presente artículo podrán solicitar la devolución de los IVA pagados dos veces al año. La primera, correspondiente a los primeros tres bimestres de cada año gravable, podrá solicitarse a partir del mes de julio, previa presentación de las declaraciones bimestrales del IVA, correspondientes y de la declaración del impuesto de renta y complementarios correspondiente al año o periodo gravable inmediatamente anterior.</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lastRenderedPageBreak/>
              <w:t>La segunda, podrá solicitarse una vez presentada la declaración correspondiente al impuesto sobre la renta y complementarios del correspondiente año gravable y las declaraciones bimestrales de IVA de los bimestres respecto de los cuales se va a solicitar la devolución.</w:t>
            </w:r>
          </w:p>
          <w:p w:rsidR="00F84688" w:rsidRPr="002F1983" w:rsidRDefault="00F84688" w:rsidP="00F84688">
            <w:pPr>
              <w:jc w:val="both"/>
              <w:rPr>
                <w:rFonts w:ascii="Cambria" w:hAnsi="Cambria"/>
                <w:sz w:val="16"/>
                <w:szCs w:val="16"/>
              </w:rPr>
            </w:pPr>
          </w:p>
          <w:p w:rsidR="00F84688" w:rsidRPr="002F1983" w:rsidRDefault="00F84688" w:rsidP="00F84688">
            <w:pPr>
              <w:pStyle w:val="Default"/>
              <w:jc w:val="both"/>
              <w:rPr>
                <w:rFonts w:ascii="Cambria" w:hAnsi="Cambria"/>
                <w:sz w:val="16"/>
                <w:szCs w:val="16"/>
              </w:rPr>
            </w:pPr>
            <w:r w:rsidRPr="002F1983">
              <w:rPr>
                <w:rFonts w:ascii="Cambria" w:hAnsi="Cambria"/>
                <w:sz w:val="16"/>
                <w:szCs w:val="16"/>
              </w:rPr>
              <w:t>La totalidad de las devoluciones que no hayan sido solicitadas según lo dispuesto en este parágrafo, se regirán por los artículos </w:t>
            </w:r>
            <w:r>
              <w:fldChar w:fldCharType="begin"/>
            </w:r>
            <w:r>
              <w:instrText>HYPERLINK "http://www.secretariasenado.gov.co/senado/basedoc/estatuto_tributario_pr032.html" \l "815"</w:instrText>
            </w:r>
            <w:r>
              <w:fldChar w:fldCharType="separate"/>
            </w:r>
            <w:r w:rsidRPr="002F1983">
              <w:rPr>
                <w:rStyle w:val="Hipervnculo"/>
                <w:rFonts w:ascii="Cambria" w:hAnsi="Cambria"/>
                <w:color w:val="0073FF"/>
                <w:sz w:val="16"/>
                <w:szCs w:val="16"/>
              </w:rPr>
              <w:t>815</w:t>
            </w:r>
            <w:r>
              <w:rPr>
                <w:rStyle w:val="Hipervnculo"/>
                <w:rFonts w:ascii="Cambria" w:hAnsi="Cambria"/>
                <w:color w:val="0073FF"/>
                <w:sz w:val="16"/>
                <w:szCs w:val="16"/>
              </w:rPr>
              <w:fldChar w:fldCharType="end"/>
            </w:r>
            <w:r w:rsidRPr="002F1983">
              <w:rPr>
                <w:rFonts w:ascii="Cambria" w:hAnsi="Cambria"/>
                <w:sz w:val="16"/>
                <w:szCs w:val="16"/>
              </w:rPr>
              <w:t>, </w:t>
            </w:r>
            <w:r>
              <w:fldChar w:fldCharType="begin"/>
            </w:r>
            <w:r>
              <w:instrText>HYPERLINK "http://www.secretariasenado.gov.co/senado/basedoc/estatuto_tributario_pr032.html" \l "816"</w:instrText>
            </w:r>
            <w:r>
              <w:fldChar w:fldCharType="separate"/>
            </w:r>
            <w:r w:rsidRPr="002F1983">
              <w:rPr>
                <w:rStyle w:val="Hipervnculo"/>
                <w:rFonts w:ascii="Cambria" w:hAnsi="Cambria"/>
                <w:color w:val="0073FF"/>
                <w:sz w:val="16"/>
                <w:szCs w:val="16"/>
              </w:rPr>
              <w:t>816</w:t>
            </w:r>
            <w:r>
              <w:rPr>
                <w:rStyle w:val="Hipervnculo"/>
                <w:rFonts w:ascii="Cambria" w:hAnsi="Cambria"/>
                <w:color w:val="0073FF"/>
                <w:sz w:val="16"/>
                <w:szCs w:val="16"/>
              </w:rPr>
              <w:fldChar w:fldCharType="end"/>
            </w:r>
            <w:r w:rsidRPr="002F1983">
              <w:rPr>
                <w:rFonts w:ascii="Cambria" w:hAnsi="Cambria"/>
                <w:sz w:val="16"/>
                <w:szCs w:val="16"/>
              </w:rPr>
              <w:t>, </w:t>
            </w:r>
            <w:r>
              <w:fldChar w:fldCharType="begin"/>
            </w:r>
            <w:r>
              <w:instrText>HYPERLINK "http://www.secretariasenado.gov.co/senado/basedoc/estatuto_tributario_pr034.html" \l "850"</w:instrText>
            </w:r>
            <w:r>
              <w:fldChar w:fldCharType="separate"/>
            </w:r>
            <w:r w:rsidRPr="002F1983">
              <w:rPr>
                <w:rStyle w:val="Hipervnculo"/>
                <w:rFonts w:ascii="Cambria" w:hAnsi="Cambria"/>
                <w:color w:val="0073FF"/>
                <w:sz w:val="16"/>
                <w:szCs w:val="16"/>
              </w:rPr>
              <w:t>850</w:t>
            </w:r>
            <w:r>
              <w:rPr>
                <w:rStyle w:val="Hipervnculo"/>
                <w:rFonts w:ascii="Cambria" w:hAnsi="Cambria"/>
                <w:color w:val="0073FF"/>
                <w:sz w:val="16"/>
                <w:szCs w:val="16"/>
              </w:rPr>
              <w:fldChar w:fldCharType="end"/>
            </w:r>
            <w:r w:rsidRPr="002F1983">
              <w:rPr>
                <w:rFonts w:ascii="Cambria" w:hAnsi="Cambria"/>
                <w:sz w:val="16"/>
                <w:szCs w:val="16"/>
              </w:rPr>
              <w:t> y </w:t>
            </w:r>
            <w:r>
              <w:fldChar w:fldCharType="begin"/>
            </w:r>
            <w:r>
              <w:instrText>HYPERLINK "http://www.secretariasenado.gov.co/senado/basedoc/estatuto_tributario_pr034.html" \l "855"</w:instrText>
            </w:r>
            <w:r>
              <w:fldChar w:fldCharType="separate"/>
            </w:r>
            <w:r w:rsidRPr="002F1983">
              <w:rPr>
                <w:rStyle w:val="Hipervnculo"/>
                <w:rFonts w:ascii="Cambria" w:hAnsi="Cambria"/>
                <w:color w:val="0073FF"/>
                <w:sz w:val="16"/>
                <w:szCs w:val="16"/>
              </w:rPr>
              <w:t>855</w:t>
            </w:r>
            <w:r>
              <w:rPr>
                <w:rStyle w:val="Hipervnculo"/>
                <w:rFonts w:ascii="Cambria" w:hAnsi="Cambria"/>
                <w:color w:val="0073FF"/>
                <w:sz w:val="16"/>
                <w:szCs w:val="16"/>
              </w:rPr>
              <w:fldChar w:fldCharType="end"/>
            </w:r>
            <w:r w:rsidRPr="002F1983">
              <w:rPr>
                <w:rFonts w:ascii="Cambria" w:hAnsi="Cambria"/>
                <w:sz w:val="16"/>
                <w:szCs w:val="16"/>
              </w:rPr>
              <w:t> de este Estatuto</w:t>
            </w:r>
          </w:p>
          <w:p w:rsidR="00F84688" w:rsidRPr="002F1983" w:rsidRDefault="00F84688" w:rsidP="00F84688">
            <w:pPr>
              <w:pStyle w:val="Default"/>
              <w:jc w:val="both"/>
              <w:rPr>
                <w:rFonts w:ascii="Cambria" w:hAnsi="Cambria"/>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PARÁGRAFO 4. Para la aplicación de la exención a que se refieren los numerales 4 y 5, los vehículos automotores completos nuevos o el que se conforme por el chasis con motor o carrocería adquiridos individualmente, deberán destinarse para el respectivo servicio, público o particular según el caso, en el cual se encontraba registrado el vehículo objeto de reposición, para lo cual deberán cumplir los procedimientos que para el efecto fijen los Ministerios de Transporte y Hacienda y Crédito Público para la aplicación de dicho beneficio. Los beneficiarios de esta exención deberán mantener los bienes de que tratan los numerales 4 y 5 del artículo 477 del Estatuto Tributario como activo fijo y su incumplimiento dará lugar al pago del impuesto sobre las ventas correspondiente.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Cuando el vendedor de los bienes de que tratan los numerales 4 y 5 de este artículo, responsable del impuesto sobre las ventas sea un comercializador, podrá aplicar el procedimiento de devolución y/o compensación previsto en el artículo 850 del Estatuto Tributario, según corresponda.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El beneficio establecido en los numerales 4 y 5 de este artículo también será aplicable cuando se adquieran por arrendamiento financiero o leasing con opción irrevocable de compra. Su incumplimiento dará lugar al pago del impuesto correspondiente.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pStyle w:val="Default"/>
              <w:jc w:val="both"/>
              <w:rPr>
                <w:rFonts w:ascii="Cambria" w:hAnsi="Cambria"/>
                <w:sz w:val="16"/>
                <w:szCs w:val="16"/>
              </w:rPr>
            </w:pPr>
          </w:p>
          <w:p w:rsidR="00F84688" w:rsidRPr="002F1983" w:rsidRDefault="00F84688" w:rsidP="00F84688">
            <w:pPr>
              <w:rPr>
                <w:rFonts w:ascii="Cambria" w:hAnsi="Cambria"/>
                <w:sz w:val="20"/>
                <w:szCs w:val="20"/>
                <w:lang w:val="es-ES"/>
              </w:rPr>
            </w:pPr>
          </w:p>
        </w:tc>
        <w:tc>
          <w:tcPr>
            <w:tcW w:w="4865" w:type="dxa"/>
          </w:tcPr>
          <w:p w:rsidR="00F84688" w:rsidRPr="002F1983" w:rsidRDefault="00F84688" w:rsidP="00F84688">
            <w:pPr>
              <w:jc w:val="both"/>
              <w:rPr>
                <w:rFonts w:ascii="Cambria" w:hAnsi="Cambria"/>
                <w:sz w:val="16"/>
                <w:szCs w:val="16"/>
              </w:rPr>
            </w:pPr>
            <w:r w:rsidRPr="002F1983">
              <w:rPr>
                <w:rFonts w:ascii="Cambria" w:hAnsi="Cambria"/>
                <w:b/>
                <w:bCs/>
                <w:color w:val="000000" w:themeColor="text1"/>
                <w:sz w:val="16"/>
                <w:szCs w:val="16"/>
              </w:rPr>
              <w:lastRenderedPageBreak/>
              <w:t>Articulo 477. Bienes que se encuentran exentos del impuesto</w:t>
            </w:r>
            <w:r>
              <w:rPr>
                <w:rFonts w:ascii="Cambria" w:hAnsi="Cambria"/>
                <w:b/>
                <w:bCs/>
                <w:color w:val="000000" w:themeColor="text1"/>
                <w:sz w:val="16"/>
                <w:szCs w:val="16"/>
              </w:rPr>
              <w:t xml:space="preserve"> </w:t>
            </w:r>
            <w:r w:rsidRPr="00F84688">
              <w:rPr>
                <w:rFonts w:ascii="Cambria" w:hAnsi="Cambria"/>
                <w:b/>
                <w:bCs/>
                <w:color w:val="FF0000"/>
                <w:sz w:val="16"/>
                <w:szCs w:val="16"/>
              </w:rPr>
              <w:t>(modificado con artículo 95 proyecto de Ley de</w:t>
            </w:r>
            <w:r w:rsidR="00852E78">
              <w:rPr>
                <w:rFonts w:ascii="Cambria" w:hAnsi="Cambria"/>
                <w:b/>
                <w:bCs/>
                <w:color w:val="FF0000"/>
                <w:sz w:val="16"/>
                <w:szCs w:val="16"/>
              </w:rPr>
              <w:t xml:space="preserve"> septiembre </w:t>
            </w:r>
            <w:r w:rsidRPr="00F84688">
              <w:rPr>
                <w:rFonts w:ascii="Cambria" w:hAnsi="Cambria"/>
                <w:b/>
                <w:bCs/>
                <w:color w:val="FF0000"/>
                <w:sz w:val="16"/>
                <w:szCs w:val="16"/>
              </w:rPr>
              <w:t xml:space="preserve"> </w:t>
            </w:r>
            <w:r w:rsidR="00852E78">
              <w:rPr>
                <w:rFonts w:ascii="Cambria" w:hAnsi="Cambria"/>
                <w:b/>
                <w:bCs/>
                <w:color w:val="FF0000"/>
                <w:sz w:val="16"/>
                <w:szCs w:val="16"/>
              </w:rPr>
              <w:t xml:space="preserve">de </w:t>
            </w:r>
            <w:r w:rsidRPr="00F84688">
              <w:rPr>
                <w:rFonts w:ascii="Cambria" w:hAnsi="Cambria"/>
                <w:b/>
                <w:bCs/>
                <w:color w:val="FF0000"/>
                <w:sz w:val="16"/>
                <w:szCs w:val="16"/>
              </w:rPr>
              <w:t>202</w:t>
            </w:r>
            <w:r w:rsidR="00852E78">
              <w:rPr>
                <w:rFonts w:ascii="Cambria" w:hAnsi="Cambria"/>
                <w:b/>
                <w:bCs/>
                <w:color w:val="FF0000"/>
                <w:sz w:val="16"/>
                <w:szCs w:val="16"/>
              </w:rPr>
              <w:t>5</w:t>
            </w:r>
            <w:r w:rsidRPr="00F84688">
              <w:rPr>
                <w:rFonts w:ascii="Cambria" w:hAnsi="Cambria"/>
                <w:b/>
                <w:bCs/>
                <w:color w:val="FF0000"/>
                <w:sz w:val="16"/>
                <w:szCs w:val="16"/>
              </w:rPr>
              <w:t>)..</w:t>
            </w:r>
            <w:r w:rsidRPr="00F84688">
              <w:rPr>
                <w:rFonts w:ascii="Cambria" w:hAnsi="Cambria"/>
                <w:color w:val="FF0000"/>
                <w:sz w:val="16"/>
                <w:szCs w:val="16"/>
              </w:rPr>
              <w:t xml:space="preserve">  </w:t>
            </w:r>
            <w:r w:rsidRPr="002F1983">
              <w:rPr>
                <w:rFonts w:ascii="Cambria" w:hAnsi="Cambria"/>
                <w:sz w:val="16"/>
                <w:szCs w:val="16"/>
              </w:rPr>
              <w:t>Están exentos del impuesto sobre las ventas, con derecho a compensación y devolución, los siguientes bienes: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tbl>
            <w:tblPr>
              <w:tblW w:w="435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3"/>
              <w:gridCol w:w="3246"/>
            </w:tblGrid>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01.02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Animales vivos de la especie bovina, excepto los de lidia.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01.05.11.00.00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Pollitos de un día de nacidos.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bovina, fresca o refrigerada.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bovina, congelada.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lastRenderedPageBreak/>
                    <w:t>02.03</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 especie porcina, fresca, refrigerada o congelada.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02.04</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de animales de las especies ovina o caprina, fresca, refrigerada o congelada.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02.06</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Despojos comestibles de animales de las especies bovina, porcina, ovina, caprina, caballar, asnal o mular, frescos, refrigerados o congelados.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02.07</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 y despojos comestibles, de aves de la partida 01.05, frescos, refrigerados o congelados.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02.08.10.00.00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Carnes y despojos comestibles de conejo o liebre, frescos, refrigerados o congelados.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02.08.90.00.00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carnes y despojos comestibles frescos, refrigerados o congelados de cuyes.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Pescado fresco o refrigerado, excepto los filetes y demás carne de pescado de la partida 03.04.</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03.03</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Pescado congelado, excepto los filetes y demás carne de pescado de la partida 03.04. Excepto los atunes de las partidas 03.03.41.00.00, 03.03.42.00.00 y 03.03.45.00.00.</w:t>
                  </w: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03.04</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Filetes y demás carne de pescado (incluso picada), frescos, refrigerados o congelados.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03.06</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camarones de cultivo.</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Leche y nata (crema), sin concentrar, sin adición de azúcar ni otro edulcorante.</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04.02</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Leche y nata (crema), concentradas o con adición de azúcar u otro edulcorante.</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04.06.10.00.00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Queso fresco (sin madurar), incluido el lactosuero, y requesón</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04.07.11.00.00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 xml:space="preserve">Huevos de gallina de la especie </w:t>
                  </w:r>
                  <w:proofErr w:type="spellStart"/>
                  <w:r w:rsidRPr="002F1983">
                    <w:rPr>
                      <w:rFonts w:ascii="Cambria" w:hAnsi="Cambria"/>
                      <w:sz w:val="16"/>
                      <w:szCs w:val="16"/>
                    </w:rPr>
                    <w:t>Gallusdomesticus</w:t>
                  </w:r>
                  <w:proofErr w:type="spellEnd"/>
                  <w:r w:rsidRPr="002F1983">
                    <w:rPr>
                      <w:rFonts w:ascii="Cambria" w:hAnsi="Cambria"/>
                      <w:sz w:val="16"/>
                      <w:szCs w:val="16"/>
                    </w:rPr>
                    <w:t>, fecundados para incubación.</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04.07.19.00.00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fecundados para incubación de las demás aves</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04.07.21.90.00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frescos de gallina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04.07.29.90.00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Huevos frescos de las demás aves</w:t>
                  </w: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sz w:val="16"/>
                      <w:szCs w:val="16"/>
                    </w:rPr>
                    <w:t>10.06</w:t>
                  </w:r>
                </w:p>
              </w:tc>
              <w:tc>
                <w:tcPr>
                  <w:tcW w:w="3967" w:type="pct"/>
                </w:tcPr>
                <w:p w:rsidR="00F84688" w:rsidRPr="002F1983" w:rsidRDefault="00F84688" w:rsidP="00F84688">
                  <w:pPr>
                    <w:jc w:val="both"/>
                    <w:rPr>
                      <w:rFonts w:ascii="Cambria" w:hAnsi="Cambria"/>
                      <w:sz w:val="16"/>
                      <w:szCs w:val="16"/>
                    </w:rPr>
                  </w:pPr>
                  <w:r w:rsidRPr="002F1983">
                    <w:rPr>
                      <w:rFonts w:ascii="Cambria" w:hAnsi="Cambria"/>
                      <w:sz w:val="16"/>
                      <w:szCs w:val="16"/>
                    </w:rPr>
                    <w:t xml:space="preserve">Arroz para consumo humano (excepto el arroz con cáscara o “Arroz </w:t>
                  </w:r>
                  <w:proofErr w:type="spellStart"/>
                  <w:r w:rsidRPr="002F1983">
                    <w:rPr>
                      <w:rFonts w:ascii="Cambria" w:hAnsi="Cambria"/>
                      <w:sz w:val="16"/>
                      <w:szCs w:val="16"/>
                    </w:rPr>
                    <w:t>Paddy</w:t>
                  </w:r>
                  <w:proofErr w:type="spellEnd"/>
                  <w:r w:rsidRPr="002F1983">
                    <w:rPr>
                      <w:rFonts w:ascii="Cambria" w:hAnsi="Cambria"/>
                      <w:sz w:val="16"/>
                      <w:szCs w:val="16"/>
                    </w:rPr>
                    <w:t>” de la partida 10.06.10.90.00 y el arroz para la siembra de la partida 10.06.10.10.00, los cuales conservan la calidad de bienes excluidos del IVA)”.</w:t>
                  </w: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19.01.10.10.00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Fórmulas lácteas para niños de hasta 12 meses de edad, únicamente la leche maternizada o humanizada.</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19.01.10.99.00</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Únicamente preparaciones infantiles a base de leche.</w:t>
                  </w: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sz w:val="16"/>
                      <w:szCs w:val="16"/>
                    </w:rPr>
                    <w:t>29.36</w:t>
                  </w:r>
                </w:p>
              </w:tc>
              <w:tc>
                <w:tcPr>
                  <w:tcW w:w="3967" w:type="pct"/>
                </w:tcPr>
                <w:p w:rsidR="00F84688" w:rsidRPr="002F1983" w:rsidRDefault="00F84688" w:rsidP="00F84688">
                  <w:pPr>
                    <w:jc w:val="both"/>
                    <w:rPr>
                      <w:rFonts w:ascii="Cambria" w:hAnsi="Cambria"/>
                      <w:sz w:val="16"/>
                      <w:szCs w:val="16"/>
                    </w:rPr>
                  </w:pPr>
                  <w:r w:rsidRPr="002F1983">
                    <w:rPr>
                      <w:rFonts w:ascii="Cambria" w:hAnsi="Cambria"/>
                      <w:sz w:val="16"/>
                      <w:szCs w:val="16"/>
                    </w:rPr>
                    <w:t>Provitaminas y vitaminas, naturales o reproducidas por síntesis (incluidos los concentrados naturales) y sus derivados utilizados principalmente como vitaminas, mezclados o no entre sí o en disoluciones de cualquier clase</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29.41</w:t>
                  </w:r>
                </w:p>
              </w:tc>
              <w:tc>
                <w:tcPr>
                  <w:tcW w:w="3967" w:type="pct"/>
                  <w:vAlign w:val="center"/>
                </w:tcPr>
                <w:p w:rsidR="00F84688" w:rsidRPr="002F1983" w:rsidRDefault="00F84688" w:rsidP="00F84688">
                  <w:pPr>
                    <w:jc w:val="both"/>
                    <w:rPr>
                      <w:rFonts w:ascii="Cambria" w:hAnsi="Cambria" w:cstheme="minorHAnsi"/>
                      <w:sz w:val="16"/>
                      <w:szCs w:val="16"/>
                      <w:lang w:eastAsia="es-CO"/>
                    </w:rPr>
                  </w:pPr>
                  <w:r w:rsidRPr="002F1983">
                    <w:rPr>
                      <w:rFonts w:ascii="Cambria" w:hAnsi="Cambria" w:cstheme="minorHAnsi"/>
                      <w:sz w:val="16"/>
                      <w:szCs w:val="16"/>
                      <w:lang w:eastAsia="es-CO"/>
                    </w:rPr>
                    <w:t>Antibióticos.</w:t>
                  </w: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lastRenderedPageBreak/>
                    <w:t>30.01</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Glándulas y demás órganos para usos opoterápicos, desecados, incluso pulverizados, extracto de glándulas o de otros órganos o de sus secreciones, para usos opoterápicos, heparina y sus sales, las demás sustancias humanas o animales preparadas para usos terapéuticos o profilácticos, no expresadas ni comprendidos en otra parte.</w:t>
                  </w: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30.02</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Sangre humana, sangre animal preparada para usos terapéuticos, profilácticos o de diagnóstico, antisueros (sueros con anticuerpos), demás fracciones de la sangre y productos inmunológicos modificados, incluso obtenidos por proceso biotecnológico, vacunas, toxinas, cultivos de microrganismos (excepto las levaduras) y productos similares.</w:t>
                  </w: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30.03</w:t>
                  </w:r>
                </w:p>
              </w:tc>
              <w:tc>
                <w:tcPr>
                  <w:tcW w:w="3967" w:type="pct"/>
                  <w:vAlign w:val="center"/>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Medicamentos (excepto los productos de las partidas 30.02, 30.05 o 30.06) constituidos por productos mezclados entre sí, preparados para usos terapéuticos o profilácticos, sin dosificar ni acondicionar para la venta al por menor.</w:t>
                  </w: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30.04</w:t>
                  </w:r>
                </w:p>
              </w:tc>
              <w:tc>
                <w:tcPr>
                  <w:tcW w:w="3967" w:type="pct"/>
                  <w:vAlign w:val="center"/>
                </w:tcPr>
                <w:p w:rsidR="00F84688" w:rsidRPr="002F1983" w:rsidRDefault="00F84688" w:rsidP="00F84688">
                  <w:pPr>
                    <w:jc w:val="both"/>
                    <w:rPr>
                      <w:rFonts w:ascii="Cambria" w:hAnsi="Cambria" w:cstheme="minorHAnsi"/>
                      <w:sz w:val="16"/>
                      <w:szCs w:val="16"/>
                      <w:lang w:eastAsia="es-CO"/>
                    </w:rPr>
                  </w:pPr>
                  <w:r w:rsidRPr="002F1983">
                    <w:rPr>
                      <w:rFonts w:ascii="Cambria" w:hAnsi="Cambria" w:cstheme="minorHAnsi"/>
                      <w:sz w:val="16"/>
                      <w:szCs w:val="16"/>
                      <w:lang w:eastAsia="es-CO"/>
                    </w:rPr>
                    <w:t>Medicamentos (excepto los productos de las partidas 30.02, 30.05 o 30.06) constituidos por productos mezclados o sin mezclar preparados para usos terapéuticos o profilácticos, dosificados o acondicionados para la venta al por menor.</w:t>
                  </w: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tcPr>
                <w:p w:rsidR="00F84688" w:rsidRPr="002F1983" w:rsidRDefault="00F84688" w:rsidP="00F84688">
                  <w:pPr>
                    <w:jc w:val="both"/>
                    <w:rPr>
                      <w:rFonts w:ascii="Cambria" w:hAnsi="Cambria"/>
                      <w:sz w:val="16"/>
                      <w:szCs w:val="16"/>
                    </w:rPr>
                  </w:pPr>
                  <w:r w:rsidRPr="002F1983">
                    <w:rPr>
                      <w:rFonts w:ascii="Cambria" w:hAnsi="Cambria" w:cstheme="minorHAnsi"/>
                      <w:sz w:val="16"/>
                      <w:szCs w:val="16"/>
                      <w:lang w:eastAsia="es-CO"/>
                    </w:rPr>
                    <w:t>30.06</w:t>
                  </w:r>
                </w:p>
              </w:tc>
              <w:tc>
                <w:tcPr>
                  <w:tcW w:w="3967" w:type="pct"/>
                </w:tcPr>
                <w:p w:rsidR="00F84688" w:rsidRPr="002F1983" w:rsidRDefault="00F84688" w:rsidP="00F84688">
                  <w:pPr>
                    <w:rPr>
                      <w:rFonts w:ascii="Cambria" w:hAnsi="Cambria" w:cstheme="minorHAnsi"/>
                      <w:sz w:val="16"/>
                      <w:szCs w:val="16"/>
                      <w:lang w:eastAsia="es-CO"/>
                    </w:rPr>
                  </w:pPr>
                  <w:r w:rsidRPr="002F1983">
                    <w:rPr>
                      <w:rFonts w:ascii="Cambria" w:hAnsi="Cambria" w:cstheme="minorHAnsi"/>
                      <w:sz w:val="16"/>
                      <w:szCs w:val="16"/>
                      <w:lang w:eastAsia="es-CO"/>
                    </w:rPr>
                    <w:t xml:space="preserve">Preparaciones y artículos farmacéuticos a que se refiere la nota 4 de este capítulo. </w:t>
                  </w:r>
                </w:p>
                <w:p w:rsidR="00F84688" w:rsidRPr="002F1983" w:rsidRDefault="00F84688" w:rsidP="00F84688">
                  <w:pPr>
                    <w:jc w:val="both"/>
                    <w:rPr>
                      <w:rFonts w:ascii="Cambria" w:hAnsi="Cambria"/>
                      <w:sz w:val="16"/>
                      <w:szCs w:val="16"/>
                    </w:rPr>
                  </w:pP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93.01</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rPr>
                    <w:t>Armas de guerra, excepto los revólveres, pistolas y armas blancas, de uso privativo de las fuerzas Militares y la Policía Nacional</w:t>
                  </w:r>
                </w:p>
              </w:tc>
            </w:tr>
            <w:tr w:rsidR="00F84688" w:rsidRPr="002F1983" w:rsidTr="0092734A">
              <w:trPr>
                <w:tblCellSpacing w:w="15" w:type="dxa"/>
              </w:trPr>
              <w:tc>
                <w:tcPr>
                  <w:tcW w:w="930" w:type="pct"/>
                  <w:hideMark/>
                </w:tcPr>
                <w:p w:rsidR="00F84688" w:rsidRPr="002F1983" w:rsidRDefault="00F84688" w:rsidP="00F84688">
                  <w:pPr>
                    <w:jc w:val="both"/>
                    <w:rPr>
                      <w:rFonts w:ascii="Cambria" w:hAnsi="Cambria"/>
                      <w:sz w:val="16"/>
                      <w:szCs w:val="16"/>
                    </w:rPr>
                  </w:pPr>
                  <w:r w:rsidRPr="002F1983">
                    <w:rPr>
                      <w:rFonts w:ascii="Cambria" w:hAnsi="Cambria"/>
                      <w:sz w:val="16"/>
                      <w:szCs w:val="16"/>
                      <w:u w:val="single"/>
                    </w:rPr>
                    <w:t>96.19</w:t>
                  </w:r>
                </w:p>
              </w:tc>
              <w:tc>
                <w:tcPr>
                  <w:tcW w:w="3967" w:type="pct"/>
                  <w:hideMark/>
                </w:tcPr>
                <w:p w:rsidR="00F84688" w:rsidRPr="002F1983" w:rsidRDefault="00F84688" w:rsidP="00F84688">
                  <w:pPr>
                    <w:jc w:val="both"/>
                    <w:rPr>
                      <w:rFonts w:ascii="Cambria" w:hAnsi="Cambria"/>
                      <w:sz w:val="16"/>
                      <w:szCs w:val="16"/>
                    </w:rPr>
                  </w:pPr>
                  <w:r w:rsidRPr="002F1983">
                    <w:rPr>
                      <w:rFonts w:ascii="Cambria" w:hAnsi="Cambria"/>
                      <w:sz w:val="16"/>
                      <w:szCs w:val="16"/>
                      <w:u w:val="single"/>
                    </w:rPr>
                    <w:t>Compresas y toallas higiénicas</w:t>
                  </w:r>
                  <w:r w:rsidRPr="002F1983">
                    <w:rPr>
                      <w:rFonts w:ascii="Cambria" w:hAnsi="Cambria"/>
                      <w:sz w:val="16"/>
                      <w:szCs w:val="16"/>
                    </w:rPr>
                    <w:t> &lt;Texto adicionado en cumplimiento a lo ordenado por la Corte Constitucional en Sentencia C-117-18&gt;  </w:t>
                  </w:r>
                </w:p>
              </w:tc>
            </w:tr>
          </w:tbl>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Adicionalmente:</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1</w:t>
            </w:r>
            <w:r w:rsidRPr="00F84688">
              <w:rPr>
                <w:rFonts w:ascii="Cambria" w:hAnsi="Cambria"/>
                <w:sz w:val="16"/>
                <w:szCs w:val="16"/>
                <w:highlight w:val="yellow"/>
              </w:rPr>
              <w:t>.Derogado a partir de 1 de julio de 2026.</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2. Derogado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3. Las municiones y material de guerra o reservado y por consiguiente de uso privativo y los siguientes elementos pertenecientes a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a) Sistemas de armas y armamento mayor y menor de todos los tipos, modelos y calibres con sus accesorios repuestos y los elementos necesarios para la instrucción de tiro, operación, manejo y mantenimiento de los mismos;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b) Todo tipo de naves, artefactos navales y aeronaves destinadas al servicio del Ramo de Defensa Nacional, con sus accesorios, repuestos y demás elementos necesarios para su operabilidad y funcionamiento;</w:t>
            </w:r>
          </w:p>
          <w:p w:rsidR="00F84688"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lastRenderedPageBreak/>
              <w:t>c) Municiones, torpedos y minas de todos los tipos, clases y calibres para los sistemas de armas y el armamento mayor y menor que usan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d) Material blindado;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e) Semovientes de todas las clases y razas destinadas al mantenimiento del orden público, interno o externo;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f) Materiales explosivos y pirotécnicos, materias primas para su fabricación y accesorios para su empleo;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g) Paracaídas y equipos de salto para Unidades Aerotransportadas, incluidos los necesarios para su mantenimiento;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h) Elementos, equipos y accesorios contra motines;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i) Los equipos de ingenieros de combate con sus accesorios y repuestos;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j) Equipos de buceo y de voladuras submarinas, sus repuestos y accesorios;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k) Equipos de detección aérea, de superficie y submarina sus accesorios, repuestos, equipos de sintonía y calibración;</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l) Elementos para control de incendios y de averías, sus accesorios y repuestos;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m) Herramientas y equipos para pruebas y mantenimiento del material de guerra o reservado;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n) Equipos, software y demás implementos de sistemas y comunicaciones para uso de las Fuerzas Militares y la Policía Nacional;</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o) Otros elementos aplicables al servicio y fabricación del material de guerra o reservado;</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p) Los servicios de diseño, construcción y mantenimiento de armas, municiones y material de guerra, con destino a la fuerza pública, así como la capacitación de tripulaciones de las Fuerza Pública, prestados por las entidades descentralizadas del orden nacional de sector defensa.</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Arial" w:hAnsi="Arial" w:cs="Arial"/>
                <w:sz w:val="16"/>
                <w:szCs w:val="16"/>
              </w:rPr>
              <w:t>4</w:t>
            </w:r>
            <w:r w:rsidRPr="002F1983">
              <w:rPr>
                <w:rFonts w:ascii="Cambria" w:hAnsi="Cambria"/>
                <w:sz w:val="16"/>
                <w:szCs w:val="16"/>
              </w:rPr>
              <w:t>. Los vehículos automotores de transporte público de pasajeros completos y el chasis con motor y la carrocería adquiridos individualmente para conformar un vehículo automotor completo nuevo, de transporte público de pasajeros. Este beneficio será aplicable a las ventas hechas a pequeños transportadores propietarios de hasta de dos (2) vehículos y para efectos de la reposición de uno o dos vehículos propios, por una única vez. Este beneficio tendrá vigencia de cinco (5) años. </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5. Los vehículos automotores de servicio público o particular, de transporte de carga completos y el chasis con motor y la carrocería adquiridos individualmente para conformar un vehículo automotor completo nuevo de transporte de carga de más de 10.5 toneladas de peso bruto vehicular. Este beneficio será aplicable a las ventas hechas a pequeños transportadores propietarios de hasta de dos (2) vehículos y para efectos de la reposición de uno o dos vehículos propios, por una única vez. Este beneficio tendrá vigencia de cinco (5) años. </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6. Las bicicletas y sus partes; motocicletas y sus partes y motocarros y sus partes, que se introduzcan y comercialicen en los departamentos de Amazonas, Guainía, Guaviare, Vaupés y Vichada, </w:t>
            </w:r>
            <w:r w:rsidRPr="002F1983">
              <w:rPr>
                <w:rFonts w:ascii="Cambria" w:hAnsi="Cambria"/>
                <w:sz w:val="16"/>
                <w:szCs w:val="16"/>
              </w:rPr>
              <w:lastRenderedPageBreak/>
              <w:t>siempre y cuando se destinen exclusivamente al consumo dentro del mismo departamento y las motocicletas y motocarros sean registrados en el departamento. También estarán exentos los bienes indicados anteriormente que se importen al territorio aduanero nacional y que se destinen posteriormente exclusivamente a estos departamentos.</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p>
          <w:p w:rsidR="00F84688" w:rsidRPr="002F1983" w:rsidRDefault="00F84688" w:rsidP="00F84688">
            <w:pPr>
              <w:jc w:val="both"/>
              <w:rPr>
                <w:rStyle w:val="baj"/>
                <w:rFonts w:ascii="Cambria" w:hAnsi="Cambria" w:cs="Arial"/>
                <w:b/>
                <w:bCs/>
                <w:color w:val="000000"/>
                <w:sz w:val="16"/>
                <w:szCs w:val="16"/>
              </w:rPr>
            </w:pPr>
            <w:r w:rsidRPr="002F1983">
              <w:rPr>
                <w:rFonts w:ascii="Cambria" w:hAnsi="Cambria"/>
                <w:sz w:val="16"/>
                <w:szCs w:val="16"/>
              </w:rPr>
              <w:t>El Gobierno nacional reglamentará la materia con el fin de que la exención del IVA se aplique en las ventas al consumidor final y para que los importadores de las referidas mercancías ubicados fuera de los citados territorios, puedan descontar a su favor en la cuenta corriente del IVA, el valor total del mismo, pagado en la nacionalización y las compras nacionales a que hubiere lugar, cuando estas mercancías se comercialicen con destino exclusivo al consumo en los referidos departamentos</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7. El consumo humano y animal, vestuario, elementos de aseo y medicamentos para uso humano o veterinario, materiales de construcción que se introduzcan y comercialicen al departamento de Amazonas, siempre y cuando se destinen exclusivamente al consumo dentro del mismo departamento. El Gobierno nacional reglamentará la materia para garantizar que la exención del IVA se aplique en las ventas al consumidor final. Adicionalmente, el tratamiento consagrado en este numeral será aplicable, siempre y cuando se cumpla con la totalidad de los siguientes requisitos: </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 xml:space="preserve">a. El adquiriente sea una sociedad constituida y domiciliada en el Departamento del Amazonas, y cuya actividad económica sea realizada únicamente en dicho Departamento. </w:t>
            </w:r>
          </w:p>
          <w:p w:rsidR="00F84688" w:rsidRPr="002F1983" w:rsidRDefault="00F84688" w:rsidP="00F84688">
            <w:pPr>
              <w:jc w:val="both"/>
              <w:rPr>
                <w:rFonts w:ascii="Cambria" w:hAnsi="Cambria"/>
                <w:sz w:val="16"/>
                <w:szCs w:val="16"/>
              </w:rPr>
            </w:pPr>
            <w:r w:rsidRPr="002F1983">
              <w:rPr>
                <w:rFonts w:ascii="Cambria" w:hAnsi="Cambria"/>
                <w:sz w:val="16"/>
                <w:szCs w:val="16"/>
              </w:rPr>
              <w:t xml:space="preserve">b. El adquiriente de los bienes de que trata este numeral debe estar inscrito en factura electrónica. </w:t>
            </w:r>
          </w:p>
          <w:p w:rsidR="00F84688" w:rsidRPr="002F1983" w:rsidRDefault="00F84688" w:rsidP="00F84688">
            <w:pPr>
              <w:jc w:val="both"/>
              <w:rPr>
                <w:rFonts w:ascii="Cambria" w:hAnsi="Cambria"/>
                <w:sz w:val="16"/>
                <w:szCs w:val="16"/>
              </w:rPr>
            </w:pPr>
            <w:r w:rsidRPr="002F1983">
              <w:rPr>
                <w:rFonts w:ascii="Cambria" w:hAnsi="Cambria"/>
                <w:sz w:val="16"/>
                <w:szCs w:val="16"/>
              </w:rPr>
              <w:t xml:space="preserve">c. El documento de transporte aéreo y/o fluvial de los bienes de que trata este numeral debe garantizar que las mercancías ingresan efectivamente al Departamento del Amazonas y son enajenados únicamente a consumidores finales ubicados únicamente en dicho Departamento. </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1o.</w:t>
            </w:r>
            <w:r w:rsidRPr="002F1983">
              <w:rPr>
                <w:rFonts w:ascii="Cambria" w:hAnsi="Cambria"/>
                <w:sz w:val="16"/>
                <w:szCs w:val="16"/>
              </w:rPr>
              <w:t xml:space="preserve"> No se consideran armas y municiones destinadas a la defensa nacional los uniformes, prendas de vestir, textiles, material térmico, carpas, </w:t>
            </w:r>
            <w:proofErr w:type="spellStart"/>
            <w:r w:rsidRPr="002F1983">
              <w:rPr>
                <w:rFonts w:ascii="Cambria" w:hAnsi="Cambria"/>
                <w:sz w:val="16"/>
                <w:szCs w:val="16"/>
              </w:rPr>
              <w:t>sintelitas</w:t>
            </w:r>
            <w:proofErr w:type="spellEnd"/>
            <w:r w:rsidRPr="002F1983">
              <w:rPr>
                <w:rFonts w:ascii="Cambria" w:hAnsi="Cambria"/>
                <w:sz w:val="16"/>
                <w:szCs w:val="16"/>
              </w:rPr>
              <w:t>, menaje, cubertería, marmitas, morrales, chalecos, juegos de cama, toallas, ponchos y calzado de uso privativo de las Fuerzas Militares y de Policía Nacional.</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2o. </w:t>
            </w:r>
            <w:r w:rsidRPr="002F1983">
              <w:rPr>
                <w:rFonts w:ascii="Cambria" w:hAnsi="Cambria"/>
                <w:sz w:val="16"/>
                <w:szCs w:val="16"/>
              </w:rPr>
              <w:t>Los productores de los bienes de que trata el presente artículo se consideran responsables del impuesto sobre las ventas, están obligados a llevar contabilidad para efectos fiscales, y serán susceptibles de devolución o compensación de los saldos a favor generados en los términos de lo establecido en el parágrafo primero del artículo </w:t>
            </w:r>
            <w:hyperlink r:id="rId90" w:anchor="850" w:history="1">
              <w:r w:rsidRPr="002F1983">
                <w:rPr>
                  <w:rStyle w:val="Hipervnculo"/>
                  <w:rFonts w:ascii="Cambria" w:hAnsi="Cambria" w:cs="Arial"/>
                  <w:color w:val="0073FF"/>
                  <w:sz w:val="16"/>
                  <w:szCs w:val="16"/>
                </w:rPr>
                <w:t>850</w:t>
              </w:r>
            </w:hyperlink>
            <w:r w:rsidRPr="002F1983">
              <w:rPr>
                <w:rFonts w:ascii="Cambria" w:hAnsi="Cambria"/>
                <w:sz w:val="16"/>
                <w:szCs w:val="16"/>
              </w:rPr>
              <w:t> de este Estatuto.</w:t>
            </w: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Style w:val="baj"/>
                <w:rFonts w:ascii="Cambria" w:hAnsi="Cambria" w:cs="Arial"/>
                <w:b/>
                <w:bCs/>
                <w:color w:val="000000"/>
                <w:sz w:val="16"/>
                <w:szCs w:val="16"/>
              </w:rPr>
            </w:pPr>
          </w:p>
          <w:p w:rsidR="00F84688" w:rsidRPr="002F1983" w:rsidRDefault="00F84688" w:rsidP="00F84688">
            <w:pPr>
              <w:jc w:val="both"/>
              <w:rPr>
                <w:rFonts w:ascii="Cambria" w:hAnsi="Cambria"/>
                <w:sz w:val="16"/>
                <w:szCs w:val="16"/>
              </w:rPr>
            </w:pPr>
            <w:r w:rsidRPr="002F1983">
              <w:rPr>
                <w:rStyle w:val="baj"/>
                <w:rFonts w:ascii="Cambria" w:hAnsi="Cambria" w:cs="Arial"/>
                <w:b/>
                <w:bCs/>
                <w:color w:val="000000"/>
                <w:sz w:val="16"/>
                <w:szCs w:val="16"/>
              </w:rPr>
              <w:t>PARÁGRAFO 3o. </w:t>
            </w:r>
            <w:r w:rsidRPr="002F1983">
              <w:rPr>
                <w:rFonts w:ascii="Cambria" w:hAnsi="Cambria"/>
                <w:sz w:val="16"/>
                <w:szCs w:val="16"/>
              </w:rPr>
              <w:t>Los productores de los bienes de que trata el presente artículo podrán solicitar la devolución de los IVA pagados dos veces al año. La primera, correspondiente a los primeros tres bimestres de cada año gravable, podrá solicitarse a partir del mes de julio, previa presentación de las declaraciones bimestrales del IVA, correspondientes y de la declaración del impuesto de renta y complementarios correspondiente al año o periodo gravable inmediatamente anterior.</w:t>
            </w:r>
          </w:p>
          <w:p w:rsidR="00F84688" w:rsidRPr="002F1983" w:rsidRDefault="00F84688" w:rsidP="00F84688">
            <w:pPr>
              <w:jc w:val="both"/>
              <w:rPr>
                <w:rFonts w:ascii="Cambria" w:hAnsi="Cambria"/>
                <w:sz w:val="16"/>
                <w:szCs w:val="16"/>
              </w:rPr>
            </w:pPr>
          </w:p>
          <w:p w:rsidR="00F84688" w:rsidRPr="002F1983" w:rsidRDefault="00F84688" w:rsidP="00F84688">
            <w:pPr>
              <w:jc w:val="both"/>
              <w:rPr>
                <w:rFonts w:ascii="Cambria" w:hAnsi="Cambria"/>
                <w:sz w:val="16"/>
                <w:szCs w:val="16"/>
              </w:rPr>
            </w:pPr>
            <w:r w:rsidRPr="002F1983">
              <w:rPr>
                <w:rFonts w:ascii="Cambria" w:hAnsi="Cambria"/>
                <w:sz w:val="16"/>
                <w:szCs w:val="16"/>
              </w:rPr>
              <w:t>La segunda, podrá solicitarse una vez presentada la declaración correspondiente al impuesto sobre la renta y complementarios del correspondiente año gravable y las declaraciones bimestrales de IVA de los bimestres respecto de los cuales se va a solicitar la devolución.</w:t>
            </w:r>
          </w:p>
          <w:p w:rsidR="00F84688" w:rsidRPr="002F1983" w:rsidRDefault="00F84688" w:rsidP="00F84688">
            <w:pPr>
              <w:jc w:val="both"/>
              <w:rPr>
                <w:rFonts w:ascii="Cambria" w:hAnsi="Cambria"/>
                <w:sz w:val="16"/>
                <w:szCs w:val="16"/>
              </w:rPr>
            </w:pPr>
          </w:p>
          <w:p w:rsidR="00F84688" w:rsidRPr="002F1983" w:rsidRDefault="00F84688" w:rsidP="00F84688">
            <w:pPr>
              <w:pStyle w:val="Default"/>
              <w:jc w:val="both"/>
              <w:rPr>
                <w:rFonts w:ascii="Cambria" w:hAnsi="Cambria"/>
                <w:sz w:val="16"/>
                <w:szCs w:val="16"/>
              </w:rPr>
            </w:pPr>
            <w:r w:rsidRPr="002F1983">
              <w:rPr>
                <w:rFonts w:ascii="Cambria" w:hAnsi="Cambria"/>
                <w:sz w:val="16"/>
                <w:szCs w:val="16"/>
              </w:rPr>
              <w:lastRenderedPageBreak/>
              <w:t>La totalidad de las devoluciones que no hayan sido solicitadas según lo dispuesto en este parágrafo, se regirán por los artículos </w:t>
            </w:r>
            <w:r>
              <w:fldChar w:fldCharType="begin"/>
            </w:r>
            <w:r>
              <w:instrText>HYPERLINK "http://www.secretariasenado.gov.co/senado/basedoc/estatuto_tributario_pr032.html" \l "815"</w:instrText>
            </w:r>
            <w:r>
              <w:fldChar w:fldCharType="separate"/>
            </w:r>
            <w:r w:rsidRPr="002F1983">
              <w:rPr>
                <w:rStyle w:val="Hipervnculo"/>
                <w:rFonts w:ascii="Cambria" w:hAnsi="Cambria"/>
                <w:color w:val="0073FF"/>
                <w:sz w:val="16"/>
                <w:szCs w:val="16"/>
              </w:rPr>
              <w:t>815</w:t>
            </w:r>
            <w:r>
              <w:rPr>
                <w:rStyle w:val="Hipervnculo"/>
                <w:rFonts w:ascii="Cambria" w:hAnsi="Cambria"/>
                <w:color w:val="0073FF"/>
                <w:sz w:val="16"/>
                <w:szCs w:val="16"/>
              </w:rPr>
              <w:fldChar w:fldCharType="end"/>
            </w:r>
            <w:r w:rsidRPr="002F1983">
              <w:rPr>
                <w:rFonts w:ascii="Cambria" w:hAnsi="Cambria"/>
                <w:sz w:val="16"/>
                <w:szCs w:val="16"/>
              </w:rPr>
              <w:t>, </w:t>
            </w:r>
            <w:r>
              <w:fldChar w:fldCharType="begin"/>
            </w:r>
            <w:r>
              <w:instrText>HYPERLINK "http://www.secretariasenado.gov.co/senado/basedoc/estatuto_tributario_pr032.html" \l "816"</w:instrText>
            </w:r>
            <w:r>
              <w:fldChar w:fldCharType="separate"/>
            </w:r>
            <w:r w:rsidRPr="002F1983">
              <w:rPr>
                <w:rStyle w:val="Hipervnculo"/>
                <w:rFonts w:ascii="Cambria" w:hAnsi="Cambria"/>
                <w:color w:val="0073FF"/>
                <w:sz w:val="16"/>
                <w:szCs w:val="16"/>
              </w:rPr>
              <w:t>816</w:t>
            </w:r>
            <w:r>
              <w:rPr>
                <w:rStyle w:val="Hipervnculo"/>
                <w:rFonts w:ascii="Cambria" w:hAnsi="Cambria"/>
                <w:color w:val="0073FF"/>
                <w:sz w:val="16"/>
                <w:szCs w:val="16"/>
              </w:rPr>
              <w:fldChar w:fldCharType="end"/>
            </w:r>
            <w:r w:rsidRPr="002F1983">
              <w:rPr>
                <w:rFonts w:ascii="Cambria" w:hAnsi="Cambria"/>
                <w:sz w:val="16"/>
                <w:szCs w:val="16"/>
              </w:rPr>
              <w:t>, </w:t>
            </w:r>
            <w:r>
              <w:fldChar w:fldCharType="begin"/>
            </w:r>
            <w:r>
              <w:instrText>HYPERLINK "http://www.secretariasenado.gov.co/senado/basedoc/estatuto_tributario_pr034.html" \l "850"</w:instrText>
            </w:r>
            <w:r>
              <w:fldChar w:fldCharType="separate"/>
            </w:r>
            <w:r w:rsidRPr="002F1983">
              <w:rPr>
                <w:rStyle w:val="Hipervnculo"/>
                <w:rFonts w:ascii="Cambria" w:hAnsi="Cambria"/>
                <w:color w:val="0073FF"/>
                <w:sz w:val="16"/>
                <w:szCs w:val="16"/>
              </w:rPr>
              <w:t>850</w:t>
            </w:r>
            <w:r>
              <w:rPr>
                <w:rStyle w:val="Hipervnculo"/>
                <w:rFonts w:ascii="Cambria" w:hAnsi="Cambria"/>
                <w:color w:val="0073FF"/>
                <w:sz w:val="16"/>
                <w:szCs w:val="16"/>
              </w:rPr>
              <w:fldChar w:fldCharType="end"/>
            </w:r>
            <w:r w:rsidRPr="002F1983">
              <w:rPr>
                <w:rFonts w:ascii="Cambria" w:hAnsi="Cambria"/>
                <w:sz w:val="16"/>
                <w:szCs w:val="16"/>
              </w:rPr>
              <w:t> y </w:t>
            </w:r>
            <w:r>
              <w:fldChar w:fldCharType="begin"/>
            </w:r>
            <w:r>
              <w:instrText>HYPERLINK "http://www.secretariasenado.gov.co/senado/basedoc/estatuto_tributario_pr034.html" \l "855"</w:instrText>
            </w:r>
            <w:r>
              <w:fldChar w:fldCharType="separate"/>
            </w:r>
            <w:r w:rsidRPr="002F1983">
              <w:rPr>
                <w:rStyle w:val="Hipervnculo"/>
                <w:rFonts w:ascii="Cambria" w:hAnsi="Cambria"/>
                <w:color w:val="0073FF"/>
                <w:sz w:val="16"/>
                <w:szCs w:val="16"/>
              </w:rPr>
              <w:t>855</w:t>
            </w:r>
            <w:r>
              <w:rPr>
                <w:rStyle w:val="Hipervnculo"/>
                <w:rFonts w:ascii="Cambria" w:hAnsi="Cambria"/>
                <w:color w:val="0073FF"/>
                <w:sz w:val="16"/>
                <w:szCs w:val="16"/>
              </w:rPr>
              <w:fldChar w:fldCharType="end"/>
            </w:r>
            <w:r w:rsidRPr="002F1983">
              <w:rPr>
                <w:rFonts w:ascii="Cambria" w:hAnsi="Cambria"/>
                <w:sz w:val="16"/>
                <w:szCs w:val="16"/>
              </w:rPr>
              <w:t> de este Estatuto</w:t>
            </w:r>
          </w:p>
          <w:p w:rsidR="00F84688" w:rsidRPr="002F1983" w:rsidRDefault="00F84688" w:rsidP="00F84688">
            <w:pPr>
              <w:pStyle w:val="Default"/>
              <w:jc w:val="both"/>
              <w:rPr>
                <w:rFonts w:ascii="Cambria" w:hAnsi="Cambria"/>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PARÁGRAFO 4. Para la aplicación de la exención a que se refieren los numerales 4 y 5, los vehículos automotores completos nuevos o el que se conforme por el chasis con motor o carrocería adquiridos individualmente, deberán destinarse para el respectivo servicio, público o particular según el caso, en el cual se encontraba registrado el vehículo objeto de reposición, para lo cual deberán cumplir los procedimientos que para el efecto fijen los Ministerios de Transporte y Hacienda y Crédito Público para la aplicación de dicho beneficio. Los beneficiarios de esta exención deberán mantener los bienes de que tratan los numerales 4 y 5 del artículo 477 del Estatuto Tributario como activo fijo y su incumplimiento dará lugar al pago del impuesto sobre las ventas correspondiente.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Cuando el vendedor de los bienes de que tratan los numerales 4 y 5 de este artículo, responsable del impuesto sobre las ventas sea un comercializador, podrá aplicar el procedimiento de devolución y/o compensación previsto en el artículo 850 del Estatuto Tributario, según corresponda.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jc w:val="both"/>
              <w:rPr>
                <w:rFonts w:ascii="Cambria" w:hAnsi="Cambria" w:cs="Arial"/>
                <w:color w:val="000000"/>
                <w:sz w:val="16"/>
                <w:szCs w:val="16"/>
              </w:rPr>
            </w:pPr>
            <w:r w:rsidRPr="002F1983">
              <w:rPr>
                <w:rFonts w:ascii="Cambria" w:hAnsi="Cambria" w:cs="Arial"/>
                <w:color w:val="000000"/>
                <w:sz w:val="16"/>
                <w:szCs w:val="16"/>
              </w:rPr>
              <w:t xml:space="preserve">El beneficio establecido en los numerales 4 y 5 de este artículo también será aplicable cuando se adquieran por arrendamiento financiero o leasing con opción irrevocable de compra. Su incumplimiento dará lugar al pago del impuesto correspondiente. </w:t>
            </w:r>
          </w:p>
          <w:p w:rsidR="00F84688" w:rsidRPr="002F1983" w:rsidRDefault="00F84688" w:rsidP="00F84688">
            <w:pPr>
              <w:jc w:val="both"/>
              <w:rPr>
                <w:rFonts w:ascii="Cambria" w:hAnsi="Cambria" w:cs="Arial"/>
                <w:color w:val="000000"/>
                <w:sz w:val="16"/>
                <w:szCs w:val="16"/>
              </w:rPr>
            </w:pPr>
          </w:p>
          <w:p w:rsidR="00F84688" w:rsidRPr="002F1983" w:rsidRDefault="00F84688" w:rsidP="00F84688">
            <w:pPr>
              <w:pStyle w:val="Default"/>
              <w:jc w:val="both"/>
              <w:rPr>
                <w:rFonts w:ascii="Cambria" w:hAnsi="Cambria"/>
                <w:sz w:val="16"/>
                <w:szCs w:val="16"/>
              </w:rPr>
            </w:pPr>
          </w:p>
          <w:p w:rsidR="00F84688" w:rsidRPr="002F1983" w:rsidRDefault="00F84688" w:rsidP="00F84688">
            <w:pPr>
              <w:rPr>
                <w:rFonts w:ascii="Cambria" w:hAnsi="Cambria"/>
                <w:sz w:val="20"/>
                <w:szCs w:val="20"/>
                <w:lang w:val="es-ES"/>
              </w:rPr>
            </w:pPr>
          </w:p>
        </w:tc>
      </w:tr>
      <w:tr w:rsidR="001A1E8E" w:rsidTr="0059378C">
        <w:tc>
          <w:tcPr>
            <w:tcW w:w="4958" w:type="dxa"/>
          </w:tcPr>
          <w:p w:rsidR="001A1E8E" w:rsidRPr="001A1E8E" w:rsidRDefault="001A1E8E" w:rsidP="001A1E8E">
            <w:pPr>
              <w:jc w:val="both"/>
              <w:rPr>
                <w:rFonts w:ascii="Cambria" w:hAnsi="Cambria"/>
                <w:sz w:val="20"/>
                <w:szCs w:val="20"/>
              </w:rPr>
            </w:pPr>
            <w:bookmarkStart w:id="26" w:name="481"/>
            <w:r w:rsidRPr="001A1E8E">
              <w:rPr>
                <w:rFonts w:ascii="Cambria" w:hAnsi="Cambria"/>
                <w:b/>
                <w:bCs/>
                <w:color w:val="000000" w:themeColor="text1"/>
                <w:sz w:val="20"/>
                <w:szCs w:val="20"/>
              </w:rPr>
              <w:lastRenderedPageBreak/>
              <w:t>Articulo 481. Bienes exentos con derecho a devolución bimestral</w:t>
            </w:r>
            <w:r w:rsidRPr="001A1E8E">
              <w:rPr>
                <w:rFonts w:ascii="Cambria" w:hAnsi="Cambria"/>
                <w:color w:val="00A9E0"/>
                <w:sz w:val="20"/>
                <w:szCs w:val="20"/>
                <w:u w:val="single"/>
              </w:rPr>
              <w:t>.</w:t>
            </w:r>
            <w:bookmarkEnd w:id="26"/>
            <w:r w:rsidRPr="001A1E8E">
              <w:rPr>
                <w:rFonts w:ascii="Cambria" w:hAnsi="Cambria"/>
                <w:sz w:val="20"/>
                <w:szCs w:val="20"/>
              </w:rPr>
              <w:t>  Para efectos del impuesto sobre las ventas, únicamente conservarán la calidad de bienes y servicios exentos con derecho a devolución bimestral:</w:t>
            </w:r>
          </w:p>
          <w:p w:rsidR="001A1E8E" w:rsidRDefault="001A1E8E" w:rsidP="001A1E8E">
            <w:pPr>
              <w:jc w:val="both"/>
              <w:rPr>
                <w:rFonts w:ascii="Cambria" w:hAnsi="Cambria"/>
                <w:sz w:val="20"/>
                <w:szCs w:val="20"/>
              </w:rPr>
            </w:pPr>
            <w:r w:rsidRPr="001A1E8E">
              <w:rPr>
                <w:rFonts w:ascii="Cambria" w:hAnsi="Cambria"/>
                <w:sz w:val="20"/>
                <w:szCs w:val="20"/>
              </w:rPr>
              <w:t>a) Los bienes corporales muebles que se exporten;</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b) Los bienes corporales muebles que se vendan en el país a las sociedades de comercialización internacional, siempre que hayan de ser efectivamente exportados directamente o una vez transformados, así como los servicios intermedios de la producción que se presten a tales sociedades, siempre y cuando el bien final sea efectivamente exportado;</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c) Los servicios que sean prestados en el país y se utilicen exclusivamente en el exterior por empresas o personas sin negocios o actividades en Colombia, de acuerdo con los requisitos que señale el reglamento. Quienes exporten servicios deberán conservar los documentos que acrediten debidamente la existencia de la operación. El Gobierno nacional reglamentará la materia;</w:t>
            </w:r>
          </w:p>
          <w:p w:rsid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p>
          <w:p w:rsidR="00852E78" w:rsidRPr="001A1E8E" w:rsidRDefault="00852E78" w:rsidP="001A1E8E">
            <w:pPr>
              <w:jc w:val="both"/>
              <w:rPr>
                <w:rFonts w:ascii="Cambria" w:hAnsi="Cambria"/>
                <w:color w:val="454545"/>
                <w:sz w:val="20"/>
                <w:szCs w:val="20"/>
              </w:rPr>
            </w:pPr>
          </w:p>
          <w:p w:rsidR="001A1E8E" w:rsidRPr="001A1E8E" w:rsidRDefault="001A1E8E" w:rsidP="001A1E8E">
            <w:pPr>
              <w:jc w:val="both"/>
              <w:rPr>
                <w:rFonts w:ascii="Cambria" w:hAnsi="Cambria"/>
                <w:sz w:val="20"/>
                <w:szCs w:val="20"/>
                <w:highlight w:val="yellow"/>
              </w:rPr>
            </w:pPr>
            <w:r w:rsidRPr="001A1E8E">
              <w:rPr>
                <w:rFonts w:ascii="Cambria" w:hAnsi="Cambria"/>
                <w:sz w:val="20"/>
                <w:szCs w:val="20"/>
              </w:rPr>
              <w:lastRenderedPageBreak/>
              <w:t xml:space="preserve">d) </w:t>
            </w:r>
            <w:r w:rsidRPr="001A1E8E">
              <w:rPr>
                <w:rFonts w:ascii="Cambria" w:hAnsi="Cambria"/>
                <w:sz w:val="20"/>
                <w:szCs w:val="20"/>
                <w:highlight w:val="yellow"/>
              </w:rPr>
              <w:t>Los servicios turísticos prestados a residentes en el exterior que sean utilizados en territorio colombiano, originados en paquetes vendidos por agencias operadores u hoteles inscritos en el registro nacional de turismo, según las funciones asignadas, de acuerdo con lo establecido en la Ley 300 de 1996. En el caso de los servicios hoteleros la exención rige independientemente de que el responsable del pago sea el huésped no residente en Colombia o la agencia de viaje.</w:t>
            </w:r>
          </w:p>
          <w:p w:rsidR="001A1E8E" w:rsidRPr="001A1E8E" w:rsidRDefault="001A1E8E" w:rsidP="001A1E8E">
            <w:pPr>
              <w:jc w:val="both"/>
              <w:rPr>
                <w:rFonts w:ascii="Cambria" w:hAnsi="Cambria"/>
                <w:sz w:val="20"/>
                <w:szCs w:val="20"/>
                <w:highlight w:val="yellow"/>
              </w:rPr>
            </w:pPr>
          </w:p>
          <w:p w:rsidR="001A1E8E" w:rsidRDefault="001A1E8E" w:rsidP="001A1E8E">
            <w:pPr>
              <w:jc w:val="both"/>
              <w:rPr>
                <w:rFonts w:ascii="Cambria" w:hAnsi="Cambria"/>
                <w:color w:val="454545"/>
                <w:sz w:val="20"/>
                <w:szCs w:val="20"/>
              </w:rPr>
            </w:pPr>
            <w:r w:rsidRPr="001A1E8E">
              <w:rPr>
                <w:rFonts w:ascii="Cambria" w:hAnsi="Cambria"/>
                <w:sz w:val="20"/>
                <w:szCs w:val="20"/>
                <w:highlight w:val="yellow"/>
              </w:rPr>
              <w:t>De igual forma, los paquetes turísticos vendidos por hoteles inscritos en el registro nacional de turismo a las agencias operadoras, siempre que los servicios turísticos hayan de ser utilizados en el territorio nacional por residentes en el exterior;</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e) Las materias primas, partes, insumos y bienes terminados que se vendan desde el territorio aduanero nacional a usuarios industriales de bienes o de servicios de Zona Franca o entre estos, siempre que los mismos sean necesarios para el desarrollo del objeto social de dichos usuarios;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f) Los impresos contemplados en el artículo </w:t>
            </w:r>
            <w:hyperlink r:id="rId91" w:anchor="478" w:history="1">
              <w:r w:rsidRPr="001A1E8E">
                <w:rPr>
                  <w:rStyle w:val="Hipervnculo"/>
                  <w:rFonts w:ascii="Cambria" w:hAnsi="Cambria"/>
                  <w:color w:val="00A9E0"/>
                  <w:spacing w:val="2"/>
                  <w:sz w:val="20"/>
                  <w:szCs w:val="20"/>
                </w:rPr>
                <w:t>478</w:t>
              </w:r>
            </w:hyperlink>
            <w:r w:rsidRPr="001A1E8E">
              <w:rPr>
                <w:rFonts w:ascii="Cambria" w:hAnsi="Cambria"/>
                <w:sz w:val="20"/>
                <w:szCs w:val="20"/>
              </w:rPr>
              <w:t> del Estatuto Tributario y los productores e importadores de cuadernos de tipo escolar de la subpartida 48.20.20.00.00 y los diarios y publicaciones periódicas, impresos incluso ilustrado o con publicidad de la partida arancelaria 49.02, así como los contenidos y las suscripciones de las ediciones digitales de los periódicos, las revistas y los libros;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Pr="001A1E8E" w:rsidRDefault="001A1E8E" w:rsidP="001A1E8E">
            <w:pPr>
              <w:jc w:val="both"/>
              <w:rPr>
                <w:rFonts w:ascii="Cambria" w:hAnsi="Cambria"/>
                <w:color w:val="454545"/>
                <w:sz w:val="20"/>
                <w:szCs w:val="20"/>
              </w:rPr>
            </w:pPr>
            <w:r w:rsidRPr="001A1E8E">
              <w:rPr>
                <w:rFonts w:ascii="Cambria" w:hAnsi="Cambria"/>
                <w:sz w:val="20"/>
                <w:szCs w:val="20"/>
              </w:rPr>
              <w:t>g) Los productores de los bienes exentos de que trata el artículo </w:t>
            </w:r>
            <w:hyperlink r:id="rId92" w:anchor="477" w:history="1">
              <w:r w:rsidRPr="001A1E8E">
                <w:rPr>
                  <w:rStyle w:val="Hipervnculo"/>
                  <w:rFonts w:ascii="Cambria" w:hAnsi="Cambria"/>
                  <w:color w:val="00A9E0"/>
                  <w:spacing w:val="2"/>
                  <w:sz w:val="20"/>
                  <w:szCs w:val="20"/>
                </w:rPr>
                <w:t>477</w:t>
              </w:r>
            </w:hyperlink>
            <w:r w:rsidRPr="001A1E8E">
              <w:rPr>
                <w:rFonts w:ascii="Cambria" w:hAnsi="Cambria"/>
                <w:sz w:val="20"/>
                <w:szCs w:val="20"/>
              </w:rPr>
              <w:t> del Estatuto Tributario que una vez entrado en operación el sistema de facturación electrónica y de acuerdo con los procedimientos establecidos por la DIAN para la aplicación de dicho sistema, lo adopten y utilicen involucrando a toda su cadena de clientes y proveedores;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h) Los servicios de conexión y acceso a internet desde redes fijas de los suscriptores residenciales de los estratos 1 y 2. En los casos en que dichos servicios sean ofrecidos en forma empaquetada con otros servicios de telecomunicaciones, los órganos reguladores del servicio de telecomunicaciones que resulten competentes tomarán las medidas regulatorias que sean necesarias con el fin de que los efectos de tarifa especial no generen subsidios cruzados entre servicios.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Pr="001A1E8E" w:rsidRDefault="001A1E8E" w:rsidP="001A1E8E">
            <w:pPr>
              <w:jc w:val="both"/>
              <w:rPr>
                <w:rFonts w:ascii="Cambria" w:hAnsi="Cambria"/>
                <w:sz w:val="20"/>
                <w:szCs w:val="20"/>
              </w:rPr>
            </w:pPr>
            <w:r w:rsidRPr="001A1E8E">
              <w:rPr>
                <w:rFonts w:ascii="Cambria" w:hAnsi="Cambria"/>
                <w:sz w:val="20"/>
                <w:szCs w:val="20"/>
              </w:rPr>
              <w:t>Para los fines previstos en este numeral, se tendrá en cuenta lo previsto en el artículo </w:t>
            </w:r>
            <w:hyperlink r:id="rId93" w:anchor="64" w:history="1">
              <w:r w:rsidRPr="001A1E8E">
                <w:rPr>
                  <w:rStyle w:val="Hipervnculo"/>
                  <w:rFonts w:ascii="Cambria" w:hAnsi="Cambria"/>
                  <w:color w:val="00A9E0"/>
                  <w:spacing w:val="2"/>
                  <w:sz w:val="20"/>
                  <w:szCs w:val="20"/>
                </w:rPr>
                <w:t>64</w:t>
              </w:r>
            </w:hyperlink>
            <w:r w:rsidRPr="001A1E8E">
              <w:rPr>
                <w:rFonts w:ascii="Cambria" w:hAnsi="Cambria"/>
                <w:sz w:val="20"/>
                <w:szCs w:val="20"/>
              </w:rPr>
              <w:t> numeral 8 de la Ley 1341 de 2009.</w:t>
            </w:r>
          </w:p>
          <w:p w:rsidR="001A1E8E" w:rsidRDefault="001A1E8E" w:rsidP="001A1E8E">
            <w:pPr>
              <w:jc w:val="both"/>
              <w:rPr>
                <w:rStyle w:val="baj"/>
                <w:rFonts w:ascii="Cambria" w:hAnsi="Cambria"/>
                <w:b/>
                <w:bCs/>
                <w:color w:val="343536"/>
                <w:spacing w:val="2"/>
                <w:sz w:val="20"/>
                <w:szCs w:val="20"/>
              </w:rPr>
            </w:pPr>
          </w:p>
          <w:p w:rsidR="001A1E8E" w:rsidRPr="001A1E8E" w:rsidRDefault="001A1E8E" w:rsidP="001A1E8E">
            <w:pPr>
              <w:jc w:val="both"/>
              <w:rPr>
                <w:rFonts w:ascii="Cambria" w:hAnsi="Cambria"/>
                <w:sz w:val="20"/>
                <w:szCs w:val="20"/>
              </w:rPr>
            </w:pPr>
            <w:r w:rsidRPr="001A1E8E">
              <w:rPr>
                <w:rStyle w:val="baj"/>
                <w:rFonts w:ascii="Cambria" w:hAnsi="Cambria"/>
                <w:b/>
                <w:bCs/>
                <w:color w:val="343536"/>
                <w:spacing w:val="2"/>
                <w:sz w:val="20"/>
                <w:szCs w:val="20"/>
              </w:rPr>
              <w:t>PARÁGRAFO.</w:t>
            </w:r>
            <w:r w:rsidRPr="001A1E8E">
              <w:rPr>
                <w:rFonts w:ascii="Cambria" w:hAnsi="Cambria"/>
                <w:sz w:val="20"/>
                <w:szCs w:val="20"/>
              </w:rPr>
              <w:t> Sin perjuicio de lo establecido en el literal c) de este artículo, se entenderá que existe una exportación de servicios en los casos de servicios relacionados con la producción de obras de cine, televisión, audiovisuales de cualquier género y con el desarrollo de software, que estén protegidos por el derecho de autor, y que una vez exportados sean difundidos desde el exterior por el beneficiario de los mismos en el mercado internacional y a ellos se pueda acceder desde Colombia por cualquier medio tecnológico.</w:t>
            </w:r>
          </w:p>
          <w:p w:rsidR="001A1E8E" w:rsidRPr="001A1E8E" w:rsidRDefault="001A1E8E" w:rsidP="001A1E8E">
            <w:pPr>
              <w:jc w:val="both"/>
              <w:rPr>
                <w:rFonts w:ascii="Cambria" w:hAnsi="Cambria"/>
                <w:b/>
                <w:bCs/>
                <w:color w:val="000000" w:themeColor="text1"/>
                <w:sz w:val="20"/>
                <w:szCs w:val="20"/>
              </w:rPr>
            </w:pPr>
          </w:p>
        </w:tc>
        <w:tc>
          <w:tcPr>
            <w:tcW w:w="4865" w:type="dxa"/>
          </w:tcPr>
          <w:p w:rsidR="001A1E8E" w:rsidRPr="001A1E8E" w:rsidRDefault="001A1E8E" w:rsidP="001A1E8E">
            <w:pPr>
              <w:jc w:val="both"/>
              <w:rPr>
                <w:rFonts w:ascii="Cambria" w:hAnsi="Cambria"/>
                <w:sz w:val="20"/>
                <w:szCs w:val="20"/>
              </w:rPr>
            </w:pPr>
            <w:r w:rsidRPr="001A1E8E">
              <w:rPr>
                <w:rFonts w:ascii="Cambria" w:hAnsi="Cambria"/>
                <w:b/>
                <w:bCs/>
                <w:color w:val="000000" w:themeColor="text1"/>
                <w:sz w:val="20"/>
                <w:szCs w:val="20"/>
              </w:rPr>
              <w:lastRenderedPageBreak/>
              <w:t>Articulo 481. Bienes exentos con derecho a devolución bimestral</w:t>
            </w:r>
            <w:r>
              <w:rPr>
                <w:rFonts w:ascii="Cambria" w:hAnsi="Cambria"/>
                <w:b/>
                <w:bCs/>
                <w:color w:val="000000" w:themeColor="text1"/>
                <w:sz w:val="20"/>
                <w:szCs w:val="20"/>
              </w:rPr>
              <w:t xml:space="preserve"> (</w:t>
            </w:r>
            <w:r w:rsidRPr="001A1E8E">
              <w:rPr>
                <w:rFonts w:ascii="Cambria" w:hAnsi="Cambria"/>
                <w:b/>
                <w:bCs/>
                <w:color w:val="FF0000"/>
                <w:sz w:val="20"/>
                <w:szCs w:val="20"/>
              </w:rPr>
              <w:t xml:space="preserve">modificado con artículo 95 del proyecto de </w:t>
            </w:r>
            <w:r w:rsidR="00FB60A2">
              <w:rPr>
                <w:rFonts w:ascii="Cambria" w:hAnsi="Cambria"/>
                <w:b/>
                <w:bCs/>
                <w:color w:val="FF0000"/>
                <w:sz w:val="20"/>
                <w:szCs w:val="20"/>
              </w:rPr>
              <w:t>Ley de septiembre de 2025</w:t>
            </w:r>
            <w:r>
              <w:rPr>
                <w:rFonts w:ascii="Cambria" w:hAnsi="Cambria"/>
                <w:b/>
                <w:bCs/>
                <w:color w:val="000000" w:themeColor="text1"/>
                <w:sz w:val="20"/>
                <w:szCs w:val="20"/>
              </w:rPr>
              <w:t>)</w:t>
            </w:r>
            <w:r w:rsidRPr="001A1E8E">
              <w:rPr>
                <w:rFonts w:ascii="Cambria" w:hAnsi="Cambria"/>
                <w:color w:val="00A9E0"/>
                <w:sz w:val="20"/>
                <w:szCs w:val="20"/>
                <w:u w:val="single"/>
              </w:rPr>
              <w:t>.</w:t>
            </w:r>
            <w:r w:rsidRPr="001A1E8E">
              <w:rPr>
                <w:rFonts w:ascii="Cambria" w:hAnsi="Cambria"/>
                <w:sz w:val="20"/>
                <w:szCs w:val="20"/>
              </w:rPr>
              <w:t>  Para efectos del impuesto sobre las ventas, únicamente conservarán la calidad de bienes y servicios exentos con derecho a devolución bimestral:</w:t>
            </w:r>
          </w:p>
          <w:p w:rsidR="001A1E8E" w:rsidRDefault="001A1E8E" w:rsidP="001A1E8E">
            <w:pPr>
              <w:jc w:val="both"/>
              <w:rPr>
                <w:rFonts w:ascii="Cambria" w:hAnsi="Cambria"/>
                <w:sz w:val="20"/>
                <w:szCs w:val="20"/>
              </w:rPr>
            </w:pPr>
            <w:r w:rsidRPr="001A1E8E">
              <w:rPr>
                <w:rFonts w:ascii="Cambria" w:hAnsi="Cambria"/>
                <w:sz w:val="20"/>
                <w:szCs w:val="20"/>
              </w:rPr>
              <w:t>a) Los bienes corporales muebles que se exporten;</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b) Los bienes corporales muebles que se vendan en el país a las sociedades de comercialización internacional, siempre que hayan de ser efectivamente exportados directamente o una vez transformados, así como los servicios intermedios de la producción que se presten a tales sociedades, siempre y cuando el bien final sea efectivamente exportado;</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c) Los servicios que sean prestados en el país y se utilicen exclusivamente en el exterior por empresas o personas sin negocios o actividades en Colombia, de acuerdo con los requisitos que señale el reglamento. Quienes exporten servicios deberán conservar los documentos que acrediten debidamente la existencia de la operación. El Gobierno nacional reglamentará la materia;</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sz w:val="20"/>
                <w:szCs w:val="20"/>
              </w:rPr>
            </w:pPr>
            <w:r w:rsidRPr="001A1E8E">
              <w:rPr>
                <w:rFonts w:ascii="Cambria" w:hAnsi="Cambria"/>
                <w:sz w:val="20"/>
                <w:szCs w:val="20"/>
              </w:rPr>
              <w:t>d</w:t>
            </w:r>
            <w:r w:rsidRPr="001A1E8E">
              <w:rPr>
                <w:rFonts w:ascii="Cambria" w:hAnsi="Cambria"/>
                <w:sz w:val="20"/>
                <w:szCs w:val="20"/>
                <w:highlight w:val="yellow"/>
              </w:rPr>
              <w:t>) Derogado</w:t>
            </w: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Default="001A1E8E" w:rsidP="001A1E8E">
            <w:pPr>
              <w:jc w:val="both"/>
              <w:rPr>
                <w:rFonts w:ascii="Cambria" w:hAnsi="Cambria"/>
                <w:sz w:val="20"/>
                <w:szCs w:val="20"/>
              </w:rPr>
            </w:pPr>
          </w:p>
          <w:p w:rsidR="001A1E8E" w:rsidRPr="001A1E8E" w:rsidRDefault="001A1E8E" w:rsidP="001A1E8E">
            <w:pPr>
              <w:jc w:val="both"/>
              <w:rPr>
                <w:rFonts w:ascii="Cambria" w:hAnsi="Cambria"/>
                <w:sz w:val="20"/>
                <w:szCs w:val="20"/>
              </w:rPr>
            </w:pPr>
          </w:p>
          <w:p w:rsidR="001A1E8E" w:rsidRPr="001A1E8E" w:rsidRDefault="001A1E8E" w:rsidP="001A1E8E">
            <w:pPr>
              <w:jc w:val="both"/>
              <w:rPr>
                <w:rFonts w:ascii="Cambria" w:hAnsi="Cambria"/>
                <w:color w:val="454545"/>
                <w:sz w:val="20"/>
                <w:szCs w:val="20"/>
              </w:rPr>
            </w:pPr>
          </w:p>
          <w:p w:rsidR="001A1E8E" w:rsidRDefault="001A1E8E" w:rsidP="001A1E8E">
            <w:pPr>
              <w:jc w:val="both"/>
              <w:rPr>
                <w:rFonts w:ascii="Cambria" w:hAnsi="Cambria"/>
                <w:color w:val="454545"/>
                <w:sz w:val="20"/>
                <w:szCs w:val="20"/>
              </w:rPr>
            </w:pPr>
            <w:r w:rsidRPr="001A1E8E">
              <w:rPr>
                <w:rFonts w:ascii="Cambria" w:hAnsi="Cambria"/>
                <w:sz w:val="20"/>
                <w:szCs w:val="20"/>
              </w:rPr>
              <w:t>e) Las materias primas, partes, insumos y bienes terminados que se vendan desde el territorio aduanero nacional a usuarios industriales de bienes o de servicios de Zona Franca o entre estos, siempre que los mismos sean necesarios para el desarrollo del objeto social de dichos usuarios;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f) Los impresos contemplados en el artículo </w:t>
            </w:r>
            <w:hyperlink r:id="rId94" w:anchor="478" w:history="1">
              <w:r w:rsidRPr="001A1E8E">
                <w:rPr>
                  <w:rStyle w:val="Hipervnculo"/>
                  <w:rFonts w:ascii="Cambria" w:hAnsi="Cambria"/>
                  <w:color w:val="00A9E0"/>
                  <w:spacing w:val="2"/>
                  <w:sz w:val="20"/>
                  <w:szCs w:val="20"/>
                </w:rPr>
                <w:t>478</w:t>
              </w:r>
            </w:hyperlink>
            <w:r w:rsidRPr="001A1E8E">
              <w:rPr>
                <w:rFonts w:ascii="Cambria" w:hAnsi="Cambria"/>
                <w:sz w:val="20"/>
                <w:szCs w:val="20"/>
              </w:rPr>
              <w:t> del Estatuto Tributario y los productores e importadores de cuadernos de tipo escolar de la subpartida 48.20.20.00.00 y los diarios y publicaciones periódicas, impresos incluso ilustrado o con publicidad de la partida arancelaria 49.02, así como los contenidos y las suscripciones de las ediciones digitales de los periódicos, las revistas y los libros;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Pr="001A1E8E" w:rsidRDefault="001A1E8E" w:rsidP="001A1E8E">
            <w:pPr>
              <w:jc w:val="both"/>
              <w:rPr>
                <w:rFonts w:ascii="Cambria" w:hAnsi="Cambria"/>
                <w:color w:val="454545"/>
                <w:sz w:val="20"/>
                <w:szCs w:val="20"/>
              </w:rPr>
            </w:pPr>
            <w:r w:rsidRPr="001A1E8E">
              <w:rPr>
                <w:rFonts w:ascii="Cambria" w:hAnsi="Cambria"/>
                <w:sz w:val="20"/>
                <w:szCs w:val="20"/>
              </w:rPr>
              <w:t>g) Los productores de los bienes exentos de que trata el artículo </w:t>
            </w:r>
            <w:hyperlink r:id="rId95" w:anchor="477" w:history="1">
              <w:r w:rsidRPr="001A1E8E">
                <w:rPr>
                  <w:rStyle w:val="Hipervnculo"/>
                  <w:rFonts w:ascii="Cambria" w:hAnsi="Cambria"/>
                  <w:color w:val="00A9E0"/>
                  <w:spacing w:val="2"/>
                  <w:sz w:val="20"/>
                  <w:szCs w:val="20"/>
                </w:rPr>
                <w:t>477</w:t>
              </w:r>
            </w:hyperlink>
            <w:r w:rsidRPr="001A1E8E">
              <w:rPr>
                <w:rFonts w:ascii="Cambria" w:hAnsi="Cambria"/>
                <w:sz w:val="20"/>
                <w:szCs w:val="20"/>
              </w:rPr>
              <w:t> del Estatuto Tributario que una vez entrado en operación el sistema de facturación electrónica y de acuerdo con los procedimientos establecidos por la DIAN para la aplicación de dicho sistema, lo adopten y utilicen involucrando a toda su cadena de clientes y proveedores;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Default="001A1E8E" w:rsidP="001A1E8E">
            <w:pPr>
              <w:jc w:val="both"/>
              <w:rPr>
                <w:rFonts w:ascii="Cambria" w:hAnsi="Cambria"/>
                <w:color w:val="454545"/>
                <w:sz w:val="20"/>
                <w:szCs w:val="20"/>
              </w:rPr>
            </w:pPr>
            <w:r w:rsidRPr="001A1E8E">
              <w:rPr>
                <w:rFonts w:ascii="Cambria" w:hAnsi="Cambria"/>
                <w:sz w:val="20"/>
                <w:szCs w:val="20"/>
              </w:rPr>
              <w:t>h) Los servicios de conexión y acceso a internet desde redes fijas de los suscriptores residenciales de los estratos 1 y 2. En los casos en que dichos servicios sean ofrecidos en forma empaquetada con otros servicios de telecomunicaciones, los órganos reguladores del servicio de telecomunicaciones que resulten competentes tomarán las medidas regulatorias que sean necesarias con el fin de que los efectos de tarifa especial no generen subsidios cruzados entre servicios.</w:t>
            </w:r>
          </w:p>
          <w:p w:rsidR="001A1E8E" w:rsidRPr="001A1E8E" w:rsidRDefault="001A1E8E" w:rsidP="001A1E8E">
            <w:pPr>
              <w:jc w:val="both"/>
              <w:rPr>
                <w:rFonts w:ascii="Cambria" w:hAnsi="Cambria"/>
                <w:color w:val="454545"/>
                <w:sz w:val="20"/>
                <w:szCs w:val="20"/>
              </w:rPr>
            </w:pPr>
            <w:r w:rsidRPr="001A1E8E">
              <w:rPr>
                <w:rFonts w:ascii="Cambria" w:hAnsi="Cambria"/>
                <w:color w:val="454545"/>
                <w:sz w:val="20"/>
                <w:szCs w:val="20"/>
              </w:rPr>
              <w:t xml:space="preserve"> </w:t>
            </w:r>
          </w:p>
          <w:p w:rsidR="001A1E8E" w:rsidRPr="001A1E8E" w:rsidRDefault="001A1E8E" w:rsidP="001A1E8E">
            <w:pPr>
              <w:jc w:val="both"/>
              <w:rPr>
                <w:rFonts w:ascii="Cambria" w:hAnsi="Cambria"/>
                <w:sz w:val="20"/>
                <w:szCs w:val="20"/>
              </w:rPr>
            </w:pPr>
            <w:r w:rsidRPr="001A1E8E">
              <w:rPr>
                <w:rFonts w:ascii="Cambria" w:hAnsi="Cambria"/>
                <w:sz w:val="20"/>
                <w:szCs w:val="20"/>
              </w:rPr>
              <w:t>Para los fines previstos en este numeral, se tendrá en cuenta lo previsto en el artículo </w:t>
            </w:r>
            <w:hyperlink r:id="rId96" w:anchor="64" w:history="1">
              <w:r w:rsidRPr="001A1E8E">
                <w:rPr>
                  <w:rStyle w:val="Hipervnculo"/>
                  <w:rFonts w:ascii="Cambria" w:hAnsi="Cambria"/>
                  <w:color w:val="00A9E0"/>
                  <w:spacing w:val="2"/>
                  <w:sz w:val="20"/>
                  <w:szCs w:val="20"/>
                </w:rPr>
                <w:t>64</w:t>
              </w:r>
            </w:hyperlink>
            <w:r w:rsidRPr="001A1E8E">
              <w:rPr>
                <w:rFonts w:ascii="Cambria" w:hAnsi="Cambria"/>
                <w:sz w:val="20"/>
                <w:szCs w:val="20"/>
              </w:rPr>
              <w:t> numeral 8 de la Ley 1341 de 2009.</w:t>
            </w:r>
          </w:p>
          <w:p w:rsidR="001A1E8E" w:rsidRDefault="001A1E8E" w:rsidP="001A1E8E">
            <w:pPr>
              <w:jc w:val="both"/>
              <w:rPr>
                <w:rStyle w:val="baj"/>
                <w:rFonts w:ascii="Cambria" w:hAnsi="Cambria"/>
                <w:b/>
                <w:bCs/>
                <w:color w:val="343536"/>
                <w:spacing w:val="2"/>
                <w:sz w:val="20"/>
                <w:szCs w:val="20"/>
              </w:rPr>
            </w:pPr>
          </w:p>
          <w:p w:rsidR="001A1E8E" w:rsidRPr="001A1E8E" w:rsidRDefault="001A1E8E" w:rsidP="001A1E8E">
            <w:pPr>
              <w:jc w:val="both"/>
              <w:rPr>
                <w:rFonts w:ascii="Cambria" w:hAnsi="Cambria"/>
                <w:sz w:val="20"/>
                <w:szCs w:val="20"/>
              </w:rPr>
            </w:pPr>
            <w:r w:rsidRPr="001A1E8E">
              <w:rPr>
                <w:rStyle w:val="baj"/>
                <w:rFonts w:ascii="Cambria" w:hAnsi="Cambria"/>
                <w:b/>
                <w:bCs/>
                <w:color w:val="343536"/>
                <w:spacing w:val="2"/>
                <w:sz w:val="20"/>
                <w:szCs w:val="20"/>
              </w:rPr>
              <w:lastRenderedPageBreak/>
              <w:t>PARÁGRAFO.</w:t>
            </w:r>
            <w:r w:rsidRPr="001A1E8E">
              <w:rPr>
                <w:rFonts w:ascii="Cambria" w:hAnsi="Cambria"/>
                <w:sz w:val="20"/>
                <w:szCs w:val="20"/>
              </w:rPr>
              <w:t> Sin perjuicio de lo establecido en el literal c) de este artículo, se entenderá que existe una exportación de servicios en los casos de servicios relacionados con la producción de obras de cine, televisión, audiovisuales de cualquier género y con el desarrollo de software, que estén protegidos por el derecho de autor, y que una vez exportados sean difundidos desde el exterior por el beneficiario de los mismos en el mercado internacional y a ellos se pueda acceder desde Colombia por cualquier medio tecnológico.</w:t>
            </w:r>
          </w:p>
          <w:p w:rsidR="001A1E8E" w:rsidRPr="001A1E8E" w:rsidRDefault="001A1E8E" w:rsidP="001A1E8E">
            <w:pPr>
              <w:jc w:val="both"/>
              <w:rPr>
                <w:rFonts w:ascii="Cambria" w:hAnsi="Cambria"/>
                <w:b/>
                <w:bCs/>
                <w:color w:val="000000" w:themeColor="text1"/>
                <w:sz w:val="20"/>
                <w:szCs w:val="20"/>
              </w:rPr>
            </w:pPr>
          </w:p>
        </w:tc>
      </w:tr>
      <w:tr w:rsidR="00A573BA" w:rsidTr="0059378C">
        <w:tc>
          <w:tcPr>
            <w:tcW w:w="4958" w:type="dxa"/>
          </w:tcPr>
          <w:p w:rsidR="00A573BA" w:rsidRDefault="00A573BA" w:rsidP="00A573BA">
            <w:pPr>
              <w:jc w:val="both"/>
              <w:rPr>
                <w:rFonts w:ascii="Cambria" w:hAnsi="Cambria"/>
                <w:sz w:val="20"/>
                <w:szCs w:val="20"/>
              </w:rPr>
            </w:pPr>
            <w:bookmarkStart w:id="27" w:name="496"/>
            <w:r w:rsidRPr="00A573BA">
              <w:rPr>
                <w:rFonts w:ascii="Cambria" w:hAnsi="Cambria"/>
                <w:b/>
                <w:bCs/>
                <w:color w:val="000000" w:themeColor="text1"/>
                <w:sz w:val="20"/>
                <w:szCs w:val="20"/>
              </w:rPr>
              <w:lastRenderedPageBreak/>
              <w:t>Articulo 496. Oportunidad de los descuentos</w:t>
            </w:r>
            <w:r w:rsidRPr="00A573BA">
              <w:rPr>
                <w:rFonts w:ascii="Cambria" w:hAnsi="Cambria"/>
                <w:color w:val="00A9E0"/>
                <w:sz w:val="20"/>
                <w:szCs w:val="20"/>
                <w:u w:val="single"/>
              </w:rPr>
              <w:t>.</w:t>
            </w:r>
            <w:bookmarkEnd w:id="27"/>
            <w:r w:rsidRPr="00A573BA">
              <w:rPr>
                <w:rFonts w:ascii="Cambria" w:hAnsi="Cambria"/>
                <w:sz w:val="20"/>
                <w:szCs w:val="20"/>
              </w:rPr>
              <w:t xml:space="preserve">  Cuando se trate de responsables que deban declarar bimestralmente, las deducciones e impuestos descontables </w:t>
            </w:r>
            <w:r w:rsidRPr="003223B7">
              <w:rPr>
                <w:rFonts w:ascii="Cambria" w:hAnsi="Cambria"/>
                <w:sz w:val="20"/>
                <w:szCs w:val="20"/>
                <w:highlight w:val="yellow"/>
              </w:rPr>
              <w:t>sólo podrán contabilizarse en el período fiscal correspondiente a la fecha de su causación</w:t>
            </w:r>
            <w:r w:rsidRPr="00A573BA">
              <w:rPr>
                <w:rFonts w:ascii="Cambria" w:hAnsi="Cambria"/>
                <w:sz w:val="20"/>
                <w:szCs w:val="20"/>
              </w:rPr>
              <w:t xml:space="preserve">, o en uno de los </w:t>
            </w:r>
            <w:r w:rsidRPr="00880F10">
              <w:rPr>
                <w:rFonts w:ascii="Cambria" w:hAnsi="Cambria"/>
                <w:sz w:val="20"/>
                <w:szCs w:val="20"/>
                <w:highlight w:val="yellow"/>
              </w:rPr>
              <w:t>tres</w:t>
            </w:r>
            <w:r w:rsidRPr="00A573BA">
              <w:rPr>
                <w:rFonts w:ascii="Cambria" w:hAnsi="Cambria"/>
                <w:sz w:val="20"/>
                <w:szCs w:val="20"/>
              </w:rPr>
              <w:t xml:space="preserve"> períodos bimestrales inmediatamente siguientes, y solicitarse en la declaración del período en el cual se haya efectuado su contabilización.</w:t>
            </w:r>
          </w:p>
          <w:p w:rsidR="003223B7" w:rsidRDefault="003223B7" w:rsidP="00A573BA">
            <w:pPr>
              <w:jc w:val="both"/>
              <w:rPr>
                <w:rFonts w:ascii="Cambria" w:hAnsi="Cambria"/>
                <w:sz w:val="20"/>
                <w:szCs w:val="20"/>
              </w:rPr>
            </w:pPr>
          </w:p>
          <w:p w:rsidR="00A573BA" w:rsidRDefault="00A573BA" w:rsidP="00A573BA">
            <w:pPr>
              <w:jc w:val="both"/>
              <w:rPr>
                <w:rFonts w:ascii="Cambria" w:hAnsi="Cambria"/>
                <w:color w:val="454545"/>
                <w:sz w:val="20"/>
                <w:szCs w:val="20"/>
              </w:rPr>
            </w:pPr>
            <w:r w:rsidRPr="00A573BA">
              <w:rPr>
                <w:rFonts w:ascii="Cambria" w:hAnsi="Cambria"/>
                <w:color w:val="454545"/>
                <w:sz w:val="20"/>
                <w:szCs w:val="20"/>
              </w:rPr>
              <w:t xml:space="preserve"> </w:t>
            </w:r>
          </w:p>
          <w:p w:rsidR="00880F10" w:rsidRPr="00A573BA" w:rsidRDefault="00880F10" w:rsidP="00A573BA">
            <w:pPr>
              <w:jc w:val="both"/>
              <w:rPr>
                <w:rFonts w:ascii="Cambria" w:hAnsi="Cambria"/>
                <w:color w:val="454545"/>
                <w:sz w:val="20"/>
                <w:szCs w:val="20"/>
              </w:rPr>
            </w:pPr>
          </w:p>
          <w:p w:rsidR="00A573BA" w:rsidRDefault="00A573BA" w:rsidP="00A573BA">
            <w:pPr>
              <w:jc w:val="both"/>
              <w:rPr>
                <w:rFonts w:ascii="Cambria" w:hAnsi="Cambria"/>
                <w:sz w:val="20"/>
                <w:szCs w:val="20"/>
              </w:rPr>
            </w:pPr>
            <w:r w:rsidRPr="00880F10">
              <w:rPr>
                <w:rFonts w:ascii="Cambria" w:hAnsi="Cambria"/>
                <w:sz w:val="20"/>
                <w:szCs w:val="20"/>
                <w:highlight w:val="yellow"/>
              </w:rPr>
              <w:t>Cuando se trate de responsables que deban declarar cuatrimestralmente, las deducciones e impuestos descontables sólo podrán contabilizarse en el período fiscal correspondiente a la fecha de su causación, o en el período cuatrimestral inmediatamente siguiente, y solicitarse en la declaración del período en el cual se haya efectuado su contabilización.</w:t>
            </w:r>
          </w:p>
          <w:p w:rsidR="00A573BA" w:rsidRPr="00A573BA" w:rsidRDefault="00A573BA" w:rsidP="00A573BA">
            <w:pPr>
              <w:jc w:val="both"/>
              <w:rPr>
                <w:rFonts w:ascii="Cambria" w:hAnsi="Cambria"/>
                <w:sz w:val="20"/>
                <w:szCs w:val="20"/>
              </w:rPr>
            </w:pPr>
          </w:p>
          <w:p w:rsidR="00A573BA" w:rsidRPr="00A573BA" w:rsidRDefault="00A573BA" w:rsidP="00A573BA">
            <w:pPr>
              <w:jc w:val="both"/>
              <w:rPr>
                <w:rFonts w:ascii="Cambria" w:hAnsi="Cambria"/>
                <w:sz w:val="20"/>
                <w:szCs w:val="20"/>
              </w:rPr>
            </w:pPr>
            <w:r w:rsidRPr="00A573BA">
              <w:rPr>
                <w:rStyle w:val="baj"/>
                <w:rFonts w:ascii="Cambria" w:hAnsi="Cambria"/>
                <w:b/>
                <w:bCs/>
                <w:color w:val="343536"/>
                <w:spacing w:val="2"/>
                <w:sz w:val="20"/>
                <w:szCs w:val="20"/>
              </w:rPr>
              <w:t>PARÁGRAFO.</w:t>
            </w:r>
            <w:r w:rsidRPr="00A573BA">
              <w:rPr>
                <w:rFonts w:ascii="Cambria" w:hAnsi="Cambria"/>
                <w:sz w:val="20"/>
                <w:szCs w:val="20"/>
              </w:rPr>
              <w:t> El impuesto sobre las ventas descontable para el sector de la construcción sólo podrá contabilizarse en el período fiscal correspondiente a la fecha de su causación o en cualquiera de los dos períodos inmediatamente siguientes y solicitarse como descontable en el período fiscal en el que ocurra la escrituración de cada unidad inmobiliaria privada gravada con dicho impuesto.</w:t>
            </w:r>
          </w:p>
          <w:p w:rsidR="00A573BA" w:rsidRDefault="00A573BA" w:rsidP="00A573BA">
            <w:pPr>
              <w:jc w:val="both"/>
              <w:rPr>
                <w:rFonts w:ascii="Cambria" w:hAnsi="Cambria"/>
                <w:color w:val="454545"/>
                <w:sz w:val="20"/>
                <w:szCs w:val="20"/>
              </w:rPr>
            </w:pPr>
            <w:r w:rsidRPr="00A573BA">
              <w:rPr>
                <w:rFonts w:ascii="Cambria" w:hAnsi="Cambria"/>
                <w:sz w:val="20"/>
                <w:szCs w:val="20"/>
              </w:rPr>
              <w:t>El impuesto sobre las ventas descontable debe corresponder proporcionalmente a los costos directos e indirectos atribuibles a las unidades inmobiliarias gravadas.</w:t>
            </w:r>
          </w:p>
          <w:p w:rsidR="00A573BA" w:rsidRPr="00A573BA" w:rsidRDefault="00A573BA" w:rsidP="00A573BA">
            <w:pPr>
              <w:jc w:val="both"/>
              <w:rPr>
                <w:rFonts w:ascii="Cambria" w:hAnsi="Cambria"/>
                <w:color w:val="454545"/>
                <w:sz w:val="20"/>
                <w:szCs w:val="20"/>
              </w:rPr>
            </w:pPr>
            <w:r w:rsidRPr="00A573BA">
              <w:rPr>
                <w:rFonts w:ascii="Cambria" w:hAnsi="Cambria"/>
                <w:color w:val="454545"/>
                <w:sz w:val="20"/>
                <w:szCs w:val="20"/>
              </w:rPr>
              <w:t xml:space="preserve"> </w:t>
            </w:r>
          </w:p>
          <w:p w:rsidR="00A573BA" w:rsidRPr="00A573BA" w:rsidRDefault="00A573BA" w:rsidP="00A573BA">
            <w:pPr>
              <w:jc w:val="both"/>
              <w:rPr>
                <w:rFonts w:ascii="Cambria" w:hAnsi="Cambria"/>
                <w:sz w:val="20"/>
                <w:szCs w:val="20"/>
              </w:rPr>
            </w:pPr>
            <w:r w:rsidRPr="00A573BA">
              <w:rPr>
                <w:rFonts w:ascii="Cambria" w:hAnsi="Cambria"/>
                <w:sz w:val="20"/>
                <w:szCs w:val="20"/>
              </w:rPr>
              <w:t>El Gobierno nacional reglamentará los mecanismos de control para la correcta imputación del mismo como descontable.</w:t>
            </w:r>
          </w:p>
          <w:p w:rsidR="00A573BA" w:rsidRPr="00A573BA" w:rsidRDefault="00A573BA" w:rsidP="00A573BA">
            <w:pPr>
              <w:jc w:val="both"/>
              <w:rPr>
                <w:rFonts w:ascii="Cambria" w:hAnsi="Cambria"/>
                <w:b/>
                <w:bCs/>
                <w:color w:val="000000" w:themeColor="text1"/>
                <w:sz w:val="20"/>
                <w:szCs w:val="20"/>
              </w:rPr>
            </w:pPr>
          </w:p>
        </w:tc>
        <w:tc>
          <w:tcPr>
            <w:tcW w:w="4865" w:type="dxa"/>
          </w:tcPr>
          <w:p w:rsidR="00A573BA" w:rsidRDefault="00A573BA" w:rsidP="00A573BA">
            <w:pPr>
              <w:jc w:val="both"/>
              <w:rPr>
                <w:rFonts w:ascii="Cambria" w:hAnsi="Cambria"/>
                <w:sz w:val="20"/>
                <w:szCs w:val="20"/>
              </w:rPr>
            </w:pPr>
            <w:r w:rsidRPr="00A573BA">
              <w:rPr>
                <w:rFonts w:ascii="Cambria" w:hAnsi="Cambria"/>
                <w:b/>
                <w:bCs/>
                <w:color w:val="000000" w:themeColor="text1"/>
                <w:sz w:val="20"/>
                <w:szCs w:val="20"/>
              </w:rPr>
              <w:t>Articulo 496. Oportunidad de los descuentos</w:t>
            </w:r>
            <w:r w:rsidR="003223B7">
              <w:rPr>
                <w:rFonts w:ascii="Cambria" w:hAnsi="Cambria"/>
                <w:b/>
                <w:bCs/>
                <w:color w:val="000000" w:themeColor="text1"/>
                <w:sz w:val="20"/>
                <w:szCs w:val="20"/>
              </w:rPr>
              <w:t xml:space="preserve"> (</w:t>
            </w:r>
            <w:r w:rsidR="003223B7" w:rsidRPr="003223B7">
              <w:rPr>
                <w:rFonts w:ascii="Cambria" w:hAnsi="Cambria"/>
                <w:b/>
                <w:bCs/>
                <w:color w:val="FF0000"/>
                <w:sz w:val="20"/>
                <w:szCs w:val="20"/>
              </w:rPr>
              <w:t>modificado con artículo 67 y 95 del proyecto de Ley</w:t>
            </w:r>
            <w:r w:rsidR="00852E78">
              <w:rPr>
                <w:rFonts w:ascii="Cambria" w:hAnsi="Cambria"/>
                <w:b/>
                <w:bCs/>
                <w:color w:val="FF0000"/>
                <w:sz w:val="20"/>
                <w:szCs w:val="20"/>
              </w:rPr>
              <w:t xml:space="preserve"> septiembre</w:t>
            </w:r>
            <w:r w:rsidR="003223B7" w:rsidRPr="003223B7">
              <w:rPr>
                <w:rFonts w:ascii="Cambria" w:hAnsi="Cambria"/>
                <w:b/>
                <w:bCs/>
                <w:color w:val="FF0000"/>
                <w:sz w:val="20"/>
                <w:szCs w:val="20"/>
              </w:rPr>
              <w:t xml:space="preserve"> de 2025</w:t>
            </w:r>
            <w:r w:rsidR="003223B7">
              <w:rPr>
                <w:rFonts w:ascii="Cambria" w:hAnsi="Cambria"/>
                <w:b/>
                <w:bCs/>
                <w:color w:val="000000" w:themeColor="text1"/>
                <w:sz w:val="20"/>
                <w:szCs w:val="20"/>
              </w:rPr>
              <w:t>)</w:t>
            </w:r>
            <w:r w:rsidRPr="00A573BA">
              <w:rPr>
                <w:rFonts w:ascii="Cambria" w:hAnsi="Cambria"/>
                <w:color w:val="00A9E0"/>
                <w:sz w:val="20"/>
                <w:szCs w:val="20"/>
                <w:u w:val="single"/>
              </w:rPr>
              <w:t>.</w:t>
            </w:r>
            <w:r w:rsidRPr="00A573BA">
              <w:rPr>
                <w:rFonts w:ascii="Cambria" w:hAnsi="Cambria"/>
                <w:sz w:val="20"/>
                <w:szCs w:val="20"/>
              </w:rPr>
              <w:t xml:space="preserve">  Cuando se trate de responsables que deban declarar bimestralmente, las deducciones e impuestos descontables </w:t>
            </w:r>
            <w:r w:rsidRPr="00880F10">
              <w:rPr>
                <w:rFonts w:ascii="Cambria" w:hAnsi="Cambria"/>
                <w:sz w:val="20"/>
                <w:szCs w:val="20"/>
                <w:highlight w:val="yellow"/>
              </w:rPr>
              <w:t>deberán estar reconocidas en la contabilidad en el momento de la ocurrencia del hecho económico</w:t>
            </w:r>
            <w:r>
              <w:rPr>
                <w:rFonts w:ascii="Cambria" w:hAnsi="Cambria"/>
                <w:sz w:val="20"/>
                <w:szCs w:val="20"/>
              </w:rPr>
              <w:t xml:space="preserve">, </w:t>
            </w:r>
            <w:r w:rsidRPr="00880F10">
              <w:rPr>
                <w:rFonts w:ascii="Cambria" w:hAnsi="Cambria"/>
                <w:sz w:val="20"/>
                <w:szCs w:val="20"/>
                <w:highlight w:val="yellow"/>
              </w:rPr>
              <w:t>y deberán  solicitarse en la declaración del mismo período</w:t>
            </w:r>
            <w:r w:rsidRPr="00A573BA">
              <w:rPr>
                <w:rFonts w:ascii="Cambria" w:hAnsi="Cambria"/>
                <w:sz w:val="20"/>
                <w:szCs w:val="20"/>
              </w:rPr>
              <w:t xml:space="preserve"> </w:t>
            </w:r>
            <w:r>
              <w:rPr>
                <w:rFonts w:ascii="Cambria" w:hAnsi="Cambria"/>
                <w:sz w:val="20"/>
                <w:szCs w:val="20"/>
              </w:rPr>
              <w:t xml:space="preserve">o en uno de los </w:t>
            </w:r>
            <w:r w:rsidRPr="00880F10">
              <w:rPr>
                <w:rFonts w:ascii="Cambria" w:hAnsi="Cambria"/>
                <w:sz w:val="20"/>
                <w:szCs w:val="20"/>
                <w:highlight w:val="yellow"/>
              </w:rPr>
              <w:t>dos</w:t>
            </w:r>
            <w:r>
              <w:rPr>
                <w:rFonts w:ascii="Cambria" w:hAnsi="Cambria"/>
                <w:sz w:val="20"/>
                <w:szCs w:val="20"/>
              </w:rPr>
              <w:t xml:space="preserve"> periodos bimestrales inmediatamente </w:t>
            </w:r>
            <w:r w:rsidR="003223B7">
              <w:rPr>
                <w:rFonts w:ascii="Cambria" w:hAnsi="Cambria"/>
                <w:sz w:val="20"/>
                <w:szCs w:val="20"/>
              </w:rPr>
              <w:t>siguientes, en este último evento deberá acreditarse en la conciliación fiscal de este impuesto</w:t>
            </w:r>
            <w:r w:rsidRPr="00A573BA">
              <w:rPr>
                <w:rFonts w:ascii="Cambria" w:hAnsi="Cambria"/>
                <w:sz w:val="20"/>
                <w:szCs w:val="20"/>
              </w:rPr>
              <w:t>.</w:t>
            </w: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Default="00880F10" w:rsidP="00A573BA">
            <w:pPr>
              <w:jc w:val="both"/>
              <w:rPr>
                <w:rFonts w:ascii="Cambria" w:hAnsi="Cambria"/>
                <w:sz w:val="20"/>
                <w:szCs w:val="20"/>
              </w:rPr>
            </w:pPr>
          </w:p>
          <w:p w:rsidR="00880F10" w:rsidRPr="00880F10" w:rsidRDefault="00880F10" w:rsidP="00A573BA">
            <w:pPr>
              <w:jc w:val="both"/>
              <w:rPr>
                <w:rFonts w:ascii="Cambria" w:hAnsi="Cambria"/>
                <w:sz w:val="20"/>
                <w:szCs w:val="20"/>
              </w:rPr>
            </w:pPr>
          </w:p>
          <w:p w:rsidR="00A573BA" w:rsidRPr="00A573BA" w:rsidRDefault="00A573BA" w:rsidP="00A573BA">
            <w:pPr>
              <w:jc w:val="both"/>
              <w:rPr>
                <w:rFonts w:ascii="Cambria" w:hAnsi="Cambria"/>
                <w:sz w:val="20"/>
                <w:szCs w:val="20"/>
              </w:rPr>
            </w:pPr>
          </w:p>
          <w:p w:rsidR="00A573BA" w:rsidRPr="00A573BA" w:rsidRDefault="00A573BA" w:rsidP="00A573BA">
            <w:pPr>
              <w:jc w:val="both"/>
              <w:rPr>
                <w:rFonts w:ascii="Cambria" w:hAnsi="Cambria"/>
                <w:sz w:val="20"/>
                <w:szCs w:val="20"/>
              </w:rPr>
            </w:pPr>
            <w:r w:rsidRPr="00A573BA">
              <w:rPr>
                <w:rStyle w:val="baj"/>
                <w:rFonts w:ascii="Cambria" w:hAnsi="Cambria"/>
                <w:b/>
                <w:bCs/>
                <w:color w:val="343536"/>
                <w:spacing w:val="2"/>
                <w:sz w:val="20"/>
                <w:szCs w:val="20"/>
              </w:rPr>
              <w:t>PARÁGRAFO.</w:t>
            </w:r>
            <w:r w:rsidRPr="00A573BA">
              <w:rPr>
                <w:rFonts w:ascii="Cambria" w:hAnsi="Cambria"/>
                <w:sz w:val="20"/>
                <w:szCs w:val="20"/>
              </w:rPr>
              <w:t> El impuesto sobre las ventas descontable para el sector de la construcción sólo podrá contabilizarse en el período fiscal correspondiente a la fecha de su causación o en cualquiera de los dos períodos inmediatamente siguientes y solicitarse como descontable en el período fiscal en el que ocurra la escrituración de cada unidad inmobiliaria privada gravada con dicho impuesto.</w:t>
            </w:r>
          </w:p>
          <w:p w:rsidR="00A573BA" w:rsidRDefault="00A573BA" w:rsidP="00A573BA">
            <w:pPr>
              <w:jc w:val="both"/>
              <w:rPr>
                <w:rFonts w:ascii="Cambria" w:hAnsi="Cambria"/>
                <w:color w:val="454545"/>
                <w:sz w:val="20"/>
                <w:szCs w:val="20"/>
              </w:rPr>
            </w:pPr>
            <w:r w:rsidRPr="00A573BA">
              <w:rPr>
                <w:rFonts w:ascii="Cambria" w:hAnsi="Cambria"/>
                <w:sz w:val="20"/>
                <w:szCs w:val="20"/>
              </w:rPr>
              <w:t>El impuesto sobre las ventas descontable debe corresponder proporcionalmente a los costos directos e indirectos atribuibles a las unidades inmobiliarias gravadas.</w:t>
            </w:r>
          </w:p>
          <w:p w:rsidR="00A573BA" w:rsidRPr="00A573BA" w:rsidRDefault="00A573BA" w:rsidP="00A573BA">
            <w:pPr>
              <w:jc w:val="both"/>
              <w:rPr>
                <w:rFonts w:ascii="Cambria" w:hAnsi="Cambria"/>
                <w:color w:val="454545"/>
                <w:sz w:val="20"/>
                <w:szCs w:val="20"/>
              </w:rPr>
            </w:pPr>
            <w:r w:rsidRPr="00A573BA">
              <w:rPr>
                <w:rFonts w:ascii="Cambria" w:hAnsi="Cambria"/>
                <w:color w:val="454545"/>
                <w:sz w:val="20"/>
                <w:szCs w:val="20"/>
              </w:rPr>
              <w:t xml:space="preserve"> </w:t>
            </w:r>
          </w:p>
          <w:p w:rsidR="00A573BA" w:rsidRPr="00A573BA" w:rsidRDefault="00A573BA" w:rsidP="00A573BA">
            <w:pPr>
              <w:jc w:val="both"/>
              <w:rPr>
                <w:rFonts w:ascii="Cambria" w:hAnsi="Cambria"/>
                <w:sz w:val="20"/>
                <w:szCs w:val="20"/>
              </w:rPr>
            </w:pPr>
            <w:r w:rsidRPr="00A573BA">
              <w:rPr>
                <w:rFonts w:ascii="Cambria" w:hAnsi="Cambria"/>
                <w:sz w:val="20"/>
                <w:szCs w:val="20"/>
              </w:rPr>
              <w:t>El Gobierno nacional reglamentará los mecanismos de control para la correcta imputación del mismo como descontable.</w:t>
            </w:r>
          </w:p>
          <w:p w:rsidR="00A573BA" w:rsidRPr="00A573BA" w:rsidRDefault="00A573BA" w:rsidP="00A573BA">
            <w:pPr>
              <w:jc w:val="both"/>
              <w:rPr>
                <w:rFonts w:ascii="Cambria" w:hAnsi="Cambria"/>
                <w:b/>
                <w:bCs/>
                <w:color w:val="000000" w:themeColor="text1"/>
                <w:sz w:val="20"/>
                <w:szCs w:val="20"/>
              </w:rPr>
            </w:pPr>
          </w:p>
        </w:tc>
      </w:tr>
      <w:tr w:rsidR="00924576" w:rsidTr="0059378C">
        <w:tc>
          <w:tcPr>
            <w:tcW w:w="4958" w:type="dxa"/>
          </w:tcPr>
          <w:p w:rsidR="00924576" w:rsidRDefault="00924576" w:rsidP="00924576">
            <w:pPr>
              <w:jc w:val="both"/>
              <w:rPr>
                <w:rFonts w:ascii="Cambria" w:hAnsi="Cambria"/>
                <w:sz w:val="20"/>
                <w:szCs w:val="20"/>
              </w:rPr>
            </w:pPr>
            <w:bookmarkStart w:id="28" w:name="512-1"/>
            <w:r w:rsidRPr="00787265">
              <w:rPr>
                <w:rFonts w:ascii="Cambria" w:hAnsi="Cambria"/>
                <w:b/>
                <w:bCs/>
                <w:color w:val="000000" w:themeColor="text1"/>
                <w:sz w:val="20"/>
                <w:szCs w:val="20"/>
              </w:rPr>
              <w:t>Artículo 512-1. Impuesto nacional al consumo.</w:t>
            </w:r>
            <w:bookmarkEnd w:id="28"/>
            <w:r w:rsidRPr="00787265">
              <w:rPr>
                <w:rFonts w:ascii="Cambria" w:hAnsi="Cambria"/>
                <w:color w:val="000000" w:themeColor="text1"/>
                <w:sz w:val="20"/>
                <w:szCs w:val="20"/>
              </w:rPr>
              <w:t> </w:t>
            </w:r>
            <w:r w:rsidRPr="00787265">
              <w:rPr>
                <w:rFonts w:ascii="Cambria" w:hAnsi="Cambria"/>
                <w:sz w:val="20"/>
                <w:szCs w:val="20"/>
              </w:rPr>
              <w:t xml:space="preserve"> El impuesto nacional al consumo tiene como hecho generador la prestación o la venta al consumidor final o </w:t>
            </w:r>
            <w:r w:rsidRPr="00787265">
              <w:rPr>
                <w:rFonts w:ascii="Cambria" w:hAnsi="Cambria"/>
                <w:sz w:val="20"/>
                <w:szCs w:val="20"/>
              </w:rPr>
              <w:lastRenderedPageBreak/>
              <w:t>la importación por parte del consumidor final, de los siguientes servicios y bienes:</w:t>
            </w:r>
          </w:p>
          <w:p w:rsidR="00924576" w:rsidRDefault="00924576" w:rsidP="00924576">
            <w:pPr>
              <w:jc w:val="both"/>
              <w:rPr>
                <w:rFonts w:ascii="Cambria" w:hAnsi="Cambria"/>
                <w:sz w:val="20"/>
                <w:szCs w:val="20"/>
              </w:rPr>
            </w:pPr>
          </w:p>
          <w:p w:rsidR="00D17C41" w:rsidRPr="00787265" w:rsidRDefault="00D17C41" w:rsidP="00924576">
            <w:pPr>
              <w:jc w:val="both"/>
              <w:rPr>
                <w:rFonts w:ascii="Cambria" w:hAnsi="Cambria"/>
                <w:sz w:val="20"/>
                <w:szCs w:val="20"/>
              </w:rPr>
            </w:pPr>
          </w:p>
          <w:p w:rsidR="00924576" w:rsidRPr="00787265" w:rsidRDefault="00924576" w:rsidP="00924576">
            <w:pPr>
              <w:jc w:val="both"/>
              <w:rPr>
                <w:rFonts w:ascii="Cambria" w:hAnsi="Cambria"/>
                <w:color w:val="454545"/>
                <w:sz w:val="20"/>
                <w:szCs w:val="20"/>
              </w:rPr>
            </w:pPr>
            <w:r w:rsidRPr="00787265">
              <w:rPr>
                <w:rFonts w:ascii="Cambria" w:hAnsi="Cambria"/>
                <w:sz w:val="20"/>
                <w:szCs w:val="20"/>
              </w:rPr>
              <w:t>1. La prestación de los servicios de telefonía móvil, internet y navegación móvil, y servicio de datos según lo dispuesto en el artículo </w:t>
            </w:r>
            <w:r w:rsidRPr="009906F2">
              <w:rPr>
                <w:rFonts w:ascii="Cambria" w:hAnsi="Cambria"/>
                <w:spacing w:val="2"/>
                <w:sz w:val="20"/>
                <w:szCs w:val="20"/>
              </w:rPr>
              <w:t>512-2</w:t>
            </w:r>
            <w:r w:rsidRPr="00787265">
              <w:rPr>
                <w:rFonts w:ascii="Cambria" w:hAnsi="Cambria"/>
                <w:sz w:val="20"/>
                <w:szCs w:val="20"/>
              </w:rPr>
              <w:t> de este Estatuto.</w:t>
            </w: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p>
          <w:p w:rsidR="00924576" w:rsidRDefault="00924576" w:rsidP="00924576">
            <w:pPr>
              <w:jc w:val="both"/>
              <w:rPr>
                <w:rFonts w:ascii="Cambria" w:hAnsi="Cambria"/>
                <w:color w:val="454545"/>
                <w:sz w:val="20"/>
                <w:szCs w:val="20"/>
              </w:rPr>
            </w:pPr>
            <w:r w:rsidRPr="00787265">
              <w:rPr>
                <w:rFonts w:ascii="Cambria" w:hAnsi="Cambria"/>
                <w:sz w:val="20"/>
                <w:szCs w:val="20"/>
              </w:rPr>
              <w:t xml:space="preserve">2. Las ventas de algunos bienes corporales muebles, de producción </w:t>
            </w:r>
            <w:proofErr w:type="spellStart"/>
            <w:r w:rsidRPr="00787265">
              <w:rPr>
                <w:rFonts w:ascii="Cambria" w:hAnsi="Cambria"/>
                <w:sz w:val="20"/>
                <w:szCs w:val="20"/>
              </w:rPr>
              <w:t>domestica</w:t>
            </w:r>
            <w:proofErr w:type="spellEnd"/>
            <w:r w:rsidRPr="00787265">
              <w:rPr>
                <w:rFonts w:ascii="Cambria" w:hAnsi="Cambria"/>
                <w:sz w:val="20"/>
                <w:szCs w:val="20"/>
              </w:rPr>
              <w:t xml:space="preserve"> o importados, según lo dispuesto en los artículos </w:t>
            </w:r>
            <w:r w:rsidRPr="009906F2">
              <w:rPr>
                <w:rFonts w:ascii="Cambria" w:hAnsi="Cambria"/>
                <w:spacing w:val="2"/>
                <w:sz w:val="20"/>
                <w:szCs w:val="20"/>
              </w:rPr>
              <w:t>512-3</w:t>
            </w:r>
            <w:r w:rsidRPr="00787265">
              <w:rPr>
                <w:rFonts w:ascii="Cambria" w:hAnsi="Cambria"/>
                <w:sz w:val="20"/>
                <w:szCs w:val="20"/>
              </w:rPr>
              <w:t>, </w:t>
            </w:r>
            <w:r w:rsidRPr="009906F2">
              <w:rPr>
                <w:rFonts w:ascii="Cambria" w:hAnsi="Cambria"/>
                <w:spacing w:val="2"/>
                <w:sz w:val="20"/>
                <w:szCs w:val="20"/>
              </w:rPr>
              <w:t>512-4</w:t>
            </w:r>
            <w:r w:rsidRPr="00787265">
              <w:rPr>
                <w:rFonts w:ascii="Cambria" w:hAnsi="Cambria"/>
                <w:sz w:val="20"/>
                <w:szCs w:val="20"/>
              </w:rPr>
              <w:t> y </w:t>
            </w:r>
            <w:r w:rsidRPr="009906F2">
              <w:rPr>
                <w:rFonts w:ascii="Cambria" w:hAnsi="Cambria"/>
                <w:spacing w:val="2"/>
                <w:sz w:val="20"/>
                <w:szCs w:val="20"/>
              </w:rPr>
              <w:t>512-5</w:t>
            </w:r>
            <w:r w:rsidRPr="00787265">
              <w:rPr>
                <w:rFonts w:ascii="Cambria" w:hAnsi="Cambria"/>
                <w:sz w:val="20"/>
                <w:szCs w:val="20"/>
              </w:rPr>
              <w:t> de este Estatuto. El impuesto al consumo no se aplicará a las ventas de los bienes mencionados en los artículos </w:t>
            </w:r>
            <w:r w:rsidRPr="009906F2">
              <w:rPr>
                <w:rFonts w:ascii="Cambria" w:hAnsi="Cambria"/>
                <w:spacing w:val="2"/>
                <w:sz w:val="20"/>
                <w:szCs w:val="20"/>
              </w:rPr>
              <w:t>512-3</w:t>
            </w:r>
            <w:r w:rsidRPr="00787265">
              <w:rPr>
                <w:rFonts w:ascii="Cambria" w:hAnsi="Cambria"/>
                <w:sz w:val="20"/>
                <w:szCs w:val="20"/>
              </w:rPr>
              <w:t> y </w:t>
            </w:r>
            <w:r w:rsidRPr="009906F2">
              <w:rPr>
                <w:rFonts w:ascii="Cambria" w:hAnsi="Cambria"/>
                <w:spacing w:val="2"/>
                <w:sz w:val="20"/>
                <w:szCs w:val="20"/>
              </w:rPr>
              <w:t>512-4</w:t>
            </w:r>
            <w:r w:rsidRPr="00787265">
              <w:rPr>
                <w:rFonts w:ascii="Cambria" w:hAnsi="Cambria"/>
                <w:sz w:val="20"/>
                <w:szCs w:val="20"/>
              </w:rPr>
              <w:t> si son activos fijos para el vendedor, salvo de que se trate de los automotores y demás activos fijos que se vendan a nombre y por cuenta de terceros y para los aerodinos.</w:t>
            </w:r>
          </w:p>
          <w:p w:rsidR="00924576"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Pr="00787265" w:rsidRDefault="00924576" w:rsidP="00924576">
            <w:pPr>
              <w:jc w:val="both"/>
              <w:rPr>
                <w:rFonts w:ascii="Cambria" w:hAnsi="Cambria"/>
                <w:color w:val="454545"/>
                <w:sz w:val="20"/>
                <w:szCs w:val="20"/>
              </w:rPr>
            </w:pPr>
          </w:p>
          <w:p w:rsidR="00924576" w:rsidRPr="00787265" w:rsidRDefault="00924576" w:rsidP="00924576">
            <w:pPr>
              <w:jc w:val="both"/>
              <w:rPr>
                <w:rFonts w:ascii="Cambria" w:hAnsi="Cambria"/>
                <w:sz w:val="20"/>
                <w:szCs w:val="20"/>
              </w:rPr>
            </w:pPr>
            <w:r w:rsidRPr="00787265">
              <w:rPr>
                <w:rFonts w:ascii="Cambria" w:hAnsi="Cambria"/>
                <w:sz w:val="20"/>
                <w:szCs w:val="20"/>
              </w:rPr>
              <w:t>3. El servicio de expendio de comidas y bebidas preparadas en restaurantes, cafeterías, autoservicios, heladerías, fruterías, pastelerías y panaderías para consumo en el lugar, para ser llevadas por el comprador o entregadas a domicilio, los servicios de alimentación bajo contrato, incluyendo el servicio de catering, y el servicio de expendio de comidas y bebidas alcohólicas para consumo dentro de bares, tabernas y discotecas, según lo dispuesto en los artículos </w:t>
            </w:r>
            <w:r w:rsidRPr="00787265">
              <w:rPr>
                <w:rFonts w:ascii="Cambria" w:hAnsi="Cambria"/>
                <w:spacing w:val="2"/>
                <w:sz w:val="20"/>
                <w:szCs w:val="20"/>
              </w:rPr>
              <w:t>426</w:t>
            </w:r>
            <w:r w:rsidRPr="00787265">
              <w:rPr>
                <w:rFonts w:ascii="Cambria" w:hAnsi="Cambria"/>
                <w:sz w:val="20"/>
                <w:szCs w:val="20"/>
              </w:rPr>
              <w:t>, </w:t>
            </w:r>
            <w:r w:rsidRPr="00787265">
              <w:rPr>
                <w:rFonts w:ascii="Cambria" w:hAnsi="Cambria"/>
                <w:spacing w:val="2"/>
                <w:sz w:val="20"/>
                <w:szCs w:val="20"/>
              </w:rPr>
              <w:t>512-8</w:t>
            </w:r>
            <w:r w:rsidRPr="00787265">
              <w:rPr>
                <w:rFonts w:ascii="Cambria" w:hAnsi="Cambria"/>
                <w:sz w:val="20"/>
                <w:szCs w:val="20"/>
              </w:rPr>
              <w:t>, </w:t>
            </w:r>
            <w:r w:rsidRPr="00787265">
              <w:rPr>
                <w:rFonts w:ascii="Cambria" w:hAnsi="Cambria"/>
                <w:spacing w:val="2"/>
                <w:sz w:val="20"/>
                <w:szCs w:val="20"/>
              </w:rPr>
              <w:t>512-9</w:t>
            </w:r>
            <w:r w:rsidRPr="00787265">
              <w:rPr>
                <w:rFonts w:ascii="Cambria" w:hAnsi="Cambria"/>
                <w:sz w:val="20"/>
                <w:szCs w:val="20"/>
              </w:rPr>
              <w:t>, </w:t>
            </w:r>
            <w:r w:rsidRPr="00787265">
              <w:rPr>
                <w:rFonts w:ascii="Cambria" w:hAnsi="Cambria"/>
                <w:spacing w:val="2"/>
                <w:sz w:val="20"/>
                <w:szCs w:val="20"/>
              </w:rPr>
              <w:t>512-10</w:t>
            </w:r>
            <w:r w:rsidRPr="00787265">
              <w:rPr>
                <w:rFonts w:ascii="Cambria" w:hAnsi="Cambria"/>
                <w:sz w:val="20"/>
                <w:szCs w:val="20"/>
              </w:rPr>
              <w:t>, </w:t>
            </w:r>
            <w:r w:rsidRPr="00787265">
              <w:rPr>
                <w:rFonts w:ascii="Cambria" w:hAnsi="Cambria"/>
                <w:spacing w:val="2"/>
                <w:sz w:val="20"/>
                <w:szCs w:val="20"/>
              </w:rPr>
              <w:t>512-11</w:t>
            </w:r>
            <w:r w:rsidRPr="00787265">
              <w:rPr>
                <w:rFonts w:ascii="Cambria" w:hAnsi="Cambria"/>
                <w:sz w:val="20"/>
                <w:szCs w:val="20"/>
              </w:rPr>
              <w:t>, </w:t>
            </w:r>
            <w:r w:rsidRPr="00787265">
              <w:rPr>
                <w:rFonts w:ascii="Cambria" w:hAnsi="Cambria"/>
                <w:spacing w:val="2"/>
                <w:sz w:val="20"/>
                <w:szCs w:val="20"/>
              </w:rPr>
              <w:t>512-12</w:t>
            </w:r>
            <w:r w:rsidRPr="00787265">
              <w:rPr>
                <w:rFonts w:ascii="Cambria" w:hAnsi="Cambria"/>
                <w:sz w:val="20"/>
                <w:szCs w:val="20"/>
              </w:rPr>
              <w:t> y </w:t>
            </w:r>
            <w:r w:rsidRPr="00787265">
              <w:rPr>
                <w:rFonts w:ascii="Cambria" w:hAnsi="Cambria"/>
                <w:spacing w:val="2"/>
                <w:sz w:val="20"/>
                <w:szCs w:val="20"/>
              </w:rPr>
              <w:t>512-13</w:t>
            </w:r>
            <w:r w:rsidRPr="00787265">
              <w:rPr>
                <w:rFonts w:ascii="Cambria" w:hAnsi="Cambria"/>
                <w:sz w:val="20"/>
                <w:szCs w:val="20"/>
              </w:rPr>
              <w:t> de</w:t>
            </w:r>
            <w:r>
              <w:rPr>
                <w:rFonts w:ascii="Cambria" w:hAnsi="Cambria"/>
                <w:sz w:val="20"/>
                <w:szCs w:val="20"/>
              </w:rPr>
              <w:t xml:space="preserve"> </w:t>
            </w:r>
            <w:r w:rsidRPr="00787265">
              <w:rPr>
                <w:rFonts w:ascii="Cambria" w:hAnsi="Cambria"/>
                <w:sz w:val="20"/>
                <w:szCs w:val="20"/>
              </w:rPr>
              <w:t>este</w:t>
            </w:r>
            <w:r>
              <w:rPr>
                <w:rFonts w:ascii="Cambria" w:hAnsi="Cambria"/>
                <w:sz w:val="20"/>
                <w:szCs w:val="20"/>
              </w:rPr>
              <w:t xml:space="preserve"> </w:t>
            </w:r>
            <w:r w:rsidRPr="00787265">
              <w:rPr>
                <w:rFonts w:ascii="Cambria" w:hAnsi="Cambria"/>
                <w:sz w:val="20"/>
                <w:szCs w:val="20"/>
              </w:rPr>
              <w:t xml:space="preserve">Estatuto. Este impuesto no es aplicable a las actividades de expendio de bebidas y comidas bajo franquicias. </w:t>
            </w: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924576" w:rsidRDefault="00924576" w:rsidP="00924576">
            <w:pPr>
              <w:jc w:val="both"/>
              <w:rPr>
                <w:rFonts w:ascii="Cambria" w:hAnsi="Cambria"/>
                <w:color w:val="454545"/>
                <w:sz w:val="20"/>
                <w:szCs w:val="20"/>
              </w:rPr>
            </w:pPr>
          </w:p>
          <w:p w:rsidR="00D17C41" w:rsidRPr="00787265" w:rsidRDefault="00D17C41" w:rsidP="00924576">
            <w:pPr>
              <w:jc w:val="both"/>
              <w:rPr>
                <w:rFonts w:ascii="Cambria" w:hAnsi="Cambria"/>
                <w:color w:val="454545"/>
                <w:sz w:val="20"/>
                <w:szCs w:val="20"/>
              </w:rPr>
            </w:pPr>
          </w:p>
          <w:p w:rsidR="00924576" w:rsidRDefault="00924576" w:rsidP="00924576">
            <w:pPr>
              <w:jc w:val="both"/>
              <w:rPr>
                <w:rFonts w:ascii="Cambria" w:hAnsi="Cambria"/>
                <w:sz w:val="20"/>
                <w:szCs w:val="20"/>
              </w:rPr>
            </w:pPr>
            <w:r w:rsidRPr="00787265">
              <w:rPr>
                <w:rFonts w:ascii="Cambria" w:hAnsi="Cambria"/>
                <w:sz w:val="20"/>
                <w:szCs w:val="20"/>
              </w:rPr>
              <w:t xml:space="preserve">El impuesto se causará al momento del </w:t>
            </w:r>
            <w:proofErr w:type="spellStart"/>
            <w:r w:rsidRPr="00787265">
              <w:rPr>
                <w:rFonts w:ascii="Cambria" w:hAnsi="Cambria"/>
                <w:sz w:val="20"/>
                <w:szCs w:val="20"/>
              </w:rPr>
              <w:t>desaduanamiento</w:t>
            </w:r>
            <w:proofErr w:type="spellEnd"/>
            <w:r w:rsidRPr="00787265">
              <w:rPr>
                <w:rFonts w:ascii="Cambria" w:hAnsi="Cambria"/>
                <w:sz w:val="20"/>
                <w:szCs w:val="20"/>
              </w:rPr>
              <w:t xml:space="preserve"> del bien importado por el consumidor final, la entrega material del bien, de la prestación del servicio o de la expedición de la cuenta de cobro, tiquete de registradora, factura o documento equivalente por parte del responsable al consumidor final.</w:t>
            </w:r>
          </w:p>
          <w:p w:rsidR="00924576" w:rsidRDefault="00924576" w:rsidP="00924576">
            <w:pPr>
              <w:jc w:val="both"/>
              <w:rPr>
                <w:rFonts w:ascii="Cambria" w:hAnsi="Cambria"/>
                <w:sz w:val="20"/>
                <w:szCs w:val="20"/>
              </w:rPr>
            </w:pP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Son responsables del impuesto al consumo el prestador del servicio de telefonía móvil, datos y/o internet y navegación móvil, el prestador del servicio de expendio de comidas y bebidas, el importador como usuario final, el vendedor de los bienes sujetos al impuesto al consumo y en la venta de vehículos usados el intermediario profesional.</w:t>
            </w:r>
          </w:p>
          <w:p w:rsidR="00924576"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Pr="00787265" w:rsidRDefault="00924576" w:rsidP="00924576">
            <w:pPr>
              <w:jc w:val="both"/>
              <w:rPr>
                <w:rFonts w:ascii="Cambria" w:hAnsi="Cambria"/>
                <w:color w:val="454545"/>
                <w:sz w:val="20"/>
                <w:szCs w:val="20"/>
              </w:rPr>
            </w:pPr>
          </w:p>
          <w:p w:rsidR="00924576" w:rsidRDefault="00924576" w:rsidP="00924576">
            <w:pPr>
              <w:jc w:val="both"/>
              <w:rPr>
                <w:rFonts w:ascii="Cambria" w:hAnsi="Cambria"/>
                <w:sz w:val="20"/>
                <w:szCs w:val="20"/>
              </w:rPr>
            </w:pPr>
            <w:r w:rsidRPr="00787265">
              <w:rPr>
                <w:rFonts w:ascii="Cambria" w:hAnsi="Cambria"/>
                <w:sz w:val="20"/>
                <w:szCs w:val="20"/>
              </w:rPr>
              <w:t>El impuesto nacional al consumo de que trata el presente artículo constituye para el comprador un costo deducible del impuesto sobre la renta como mayor valor del bien o servicio adquirido.</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El impuesto nacional al consumo no genera impuestos descontables en el impuesto sobre las ventas (IVA).</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El no cumplimiento de las obligaciones que consagra este artículo dará lugar a las sanciones aplicables al impuesto sobre las ventas (IVA).</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color w:val="454545"/>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El período gravable para la declaración y pago del impuesto nacional al consumo será bimestral. Los períodos bimestrales son: enero-febrero; marzo-abril; mayo-junio; julio-agosto; septiembre-octubre; noviembre-diciembre.</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r w:rsidRPr="00787265">
              <w:rPr>
                <w:rFonts w:ascii="Cambria" w:hAnsi="Cambria"/>
                <w:sz w:val="20"/>
                <w:szCs w:val="20"/>
              </w:rPr>
              <w:t>En el caso de liquidación o terminación de actividades durante el ejercicio, el período gravable se contará desde su iniciación hasta las fechas señaladas en el artículo </w:t>
            </w:r>
            <w:hyperlink r:id="rId97" w:anchor="595" w:history="1">
              <w:r w:rsidRPr="00787265">
                <w:rPr>
                  <w:rStyle w:val="Hipervnculo"/>
                  <w:rFonts w:ascii="Cambria" w:hAnsi="Cambria"/>
                  <w:color w:val="00A9E0"/>
                  <w:spacing w:val="2"/>
                  <w:sz w:val="20"/>
                  <w:szCs w:val="20"/>
                </w:rPr>
                <w:t>595</w:t>
              </w:r>
            </w:hyperlink>
            <w:r w:rsidRPr="00787265">
              <w:rPr>
                <w:rFonts w:ascii="Cambria" w:hAnsi="Cambria"/>
                <w:sz w:val="20"/>
                <w:szCs w:val="20"/>
              </w:rPr>
              <w:t> de este Estatuto.</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color w:val="454545"/>
                <w:sz w:val="20"/>
                <w:szCs w:val="20"/>
              </w:rPr>
            </w:pPr>
            <w:r w:rsidRPr="00787265">
              <w:rPr>
                <w:rFonts w:ascii="Cambria" w:hAnsi="Cambria"/>
                <w:sz w:val="20"/>
                <w:szCs w:val="20"/>
              </w:rPr>
              <w:t>Cuando se inicien actividades durante el ejercicio, el período gravable será el comprendido entre la fecha de iniciación de actividades y la fecha de finalización del respectivo período.</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Facúltese al Gobierno nacional para realizar las incorporaciones y sustituciones al Presupuesto General de la Nación que sean necesarias para adecuar las rentas y apropiaciones presupuestales a lo dispuesto en el presente artículo, sin que con ello se modifique el monto total aprobado por el Congreso de la República.</w:t>
            </w:r>
          </w:p>
          <w:p w:rsidR="00924576" w:rsidRPr="00787265" w:rsidRDefault="00924576" w:rsidP="00924576">
            <w:pPr>
              <w:jc w:val="both"/>
              <w:rPr>
                <w:rFonts w:ascii="Cambria" w:hAnsi="Cambria"/>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Excluir del Impuesto Nacional al Consumo al departamento del Amazonas y al Archipiélago de San Andrés, Providencia y Santa Catalina, con excepción de lo dispuesto en el artículo </w:t>
            </w:r>
            <w:r w:rsidRPr="00787265">
              <w:rPr>
                <w:rFonts w:ascii="Cambria" w:hAnsi="Cambria"/>
                <w:spacing w:val="2"/>
                <w:sz w:val="20"/>
                <w:szCs w:val="20"/>
              </w:rPr>
              <w:t>512-7</w:t>
            </w:r>
            <w:r w:rsidRPr="00787265">
              <w:rPr>
                <w:rFonts w:ascii="Cambria" w:hAnsi="Cambria"/>
                <w:sz w:val="20"/>
                <w:szCs w:val="20"/>
              </w:rPr>
              <w:t> del Estatuto Tributario.</w:t>
            </w:r>
          </w:p>
          <w:p w:rsidR="00924576" w:rsidRPr="00787265" w:rsidRDefault="00924576" w:rsidP="00924576">
            <w:pPr>
              <w:jc w:val="both"/>
              <w:rPr>
                <w:rFonts w:ascii="Cambria" w:hAnsi="Cambria"/>
                <w:b/>
                <w:bCs/>
                <w:color w:val="000000" w:themeColor="text1"/>
                <w:sz w:val="20"/>
                <w:szCs w:val="20"/>
              </w:rPr>
            </w:pPr>
          </w:p>
        </w:tc>
        <w:tc>
          <w:tcPr>
            <w:tcW w:w="4865" w:type="dxa"/>
          </w:tcPr>
          <w:p w:rsidR="00924576" w:rsidRDefault="00924576" w:rsidP="00924576">
            <w:pPr>
              <w:jc w:val="both"/>
              <w:rPr>
                <w:rFonts w:ascii="Cambria" w:hAnsi="Cambria"/>
                <w:sz w:val="20"/>
                <w:szCs w:val="20"/>
              </w:rPr>
            </w:pPr>
            <w:r w:rsidRPr="00787265">
              <w:rPr>
                <w:rFonts w:ascii="Cambria" w:hAnsi="Cambria"/>
                <w:b/>
                <w:bCs/>
                <w:color w:val="000000" w:themeColor="text1"/>
                <w:sz w:val="20"/>
                <w:szCs w:val="20"/>
              </w:rPr>
              <w:lastRenderedPageBreak/>
              <w:t>Artículo 512-1. Impuesto nacional al consumo</w:t>
            </w:r>
            <w:r w:rsidR="00D17C41">
              <w:rPr>
                <w:rFonts w:ascii="Cambria" w:hAnsi="Cambria"/>
                <w:b/>
                <w:bCs/>
                <w:color w:val="000000" w:themeColor="text1"/>
                <w:sz w:val="20"/>
                <w:szCs w:val="20"/>
              </w:rPr>
              <w:t xml:space="preserve"> </w:t>
            </w:r>
            <w:r w:rsidR="00D17C41" w:rsidRPr="00D17C41">
              <w:rPr>
                <w:rFonts w:ascii="Cambria" w:hAnsi="Cambria"/>
                <w:b/>
                <w:bCs/>
                <w:color w:val="FF0000"/>
                <w:sz w:val="20"/>
                <w:szCs w:val="20"/>
              </w:rPr>
              <w:t xml:space="preserve">(modificado con artículo 25 del proyecto de </w:t>
            </w:r>
            <w:r w:rsidR="00FB60A2">
              <w:rPr>
                <w:rFonts w:ascii="Cambria" w:hAnsi="Cambria"/>
                <w:b/>
                <w:bCs/>
                <w:color w:val="FF0000"/>
                <w:sz w:val="20"/>
                <w:szCs w:val="20"/>
              </w:rPr>
              <w:t>Ley de septiembre de 2025</w:t>
            </w:r>
            <w:r w:rsidR="00D17C41" w:rsidRPr="00D17C41">
              <w:rPr>
                <w:rFonts w:ascii="Cambria" w:hAnsi="Cambria"/>
                <w:b/>
                <w:bCs/>
                <w:color w:val="FF0000"/>
                <w:sz w:val="20"/>
                <w:szCs w:val="20"/>
              </w:rPr>
              <w:t>)</w:t>
            </w:r>
            <w:r w:rsidRPr="00D17C41">
              <w:rPr>
                <w:rFonts w:ascii="Cambria" w:hAnsi="Cambria"/>
                <w:b/>
                <w:bCs/>
                <w:color w:val="FF0000"/>
                <w:sz w:val="20"/>
                <w:szCs w:val="20"/>
              </w:rPr>
              <w:t>.</w:t>
            </w:r>
            <w:r w:rsidRPr="00D17C41">
              <w:rPr>
                <w:rFonts w:ascii="Cambria" w:hAnsi="Cambria"/>
                <w:color w:val="FF0000"/>
                <w:sz w:val="20"/>
                <w:szCs w:val="20"/>
              </w:rPr>
              <w:t xml:space="preserve">  </w:t>
            </w:r>
            <w:r w:rsidRPr="00787265">
              <w:rPr>
                <w:rFonts w:ascii="Cambria" w:hAnsi="Cambria"/>
                <w:sz w:val="20"/>
                <w:szCs w:val="20"/>
              </w:rPr>
              <w:t xml:space="preserve">El impuesto nacional al consumo tiene como hecho generador la prestación o </w:t>
            </w:r>
            <w:r w:rsidRPr="00787265">
              <w:rPr>
                <w:rFonts w:ascii="Cambria" w:hAnsi="Cambria"/>
                <w:sz w:val="20"/>
                <w:szCs w:val="20"/>
              </w:rPr>
              <w:lastRenderedPageBreak/>
              <w:t>la venta al consumidor final o la importación por parte del consumidor final, de los siguientes servicios y bienes:</w:t>
            </w:r>
          </w:p>
          <w:p w:rsidR="00924576" w:rsidRPr="00787265" w:rsidRDefault="00924576" w:rsidP="00924576">
            <w:pPr>
              <w:jc w:val="both"/>
              <w:rPr>
                <w:rFonts w:ascii="Cambria" w:hAnsi="Cambria"/>
                <w:sz w:val="20"/>
                <w:szCs w:val="20"/>
              </w:rPr>
            </w:pPr>
          </w:p>
          <w:p w:rsidR="00924576" w:rsidRPr="00787265" w:rsidRDefault="00924576" w:rsidP="00924576">
            <w:pPr>
              <w:jc w:val="both"/>
              <w:rPr>
                <w:rFonts w:ascii="Cambria" w:hAnsi="Cambria"/>
                <w:color w:val="454545"/>
                <w:sz w:val="20"/>
                <w:szCs w:val="20"/>
              </w:rPr>
            </w:pPr>
            <w:r w:rsidRPr="00787265">
              <w:rPr>
                <w:rFonts w:ascii="Cambria" w:hAnsi="Cambria"/>
                <w:sz w:val="20"/>
                <w:szCs w:val="20"/>
              </w:rPr>
              <w:t>1. La prestación de los servicios de telefonía móvil, internet y navegación móvil, y servicio de datos según lo dispuesto en el artículo </w:t>
            </w:r>
            <w:r w:rsidRPr="009906F2">
              <w:rPr>
                <w:rFonts w:ascii="Cambria" w:hAnsi="Cambria"/>
                <w:spacing w:val="2"/>
                <w:sz w:val="20"/>
                <w:szCs w:val="20"/>
              </w:rPr>
              <w:t>512-2</w:t>
            </w:r>
            <w:r w:rsidRPr="00787265">
              <w:rPr>
                <w:rFonts w:ascii="Cambria" w:hAnsi="Cambria"/>
                <w:sz w:val="20"/>
                <w:szCs w:val="20"/>
              </w:rPr>
              <w:t> de este Estatuto.</w:t>
            </w: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 xml:space="preserve">2. </w:t>
            </w:r>
            <w:r w:rsidR="009906F2" w:rsidRPr="00787265">
              <w:rPr>
                <w:rFonts w:ascii="Cambria" w:hAnsi="Cambria"/>
                <w:sz w:val="20"/>
                <w:szCs w:val="20"/>
              </w:rPr>
              <w:t xml:space="preserve">Las ventas de algunos bienes corporales muebles, de producción </w:t>
            </w:r>
            <w:proofErr w:type="spellStart"/>
            <w:r w:rsidR="009906F2" w:rsidRPr="00787265">
              <w:rPr>
                <w:rFonts w:ascii="Cambria" w:hAnsi="Cambria"/>
                <w:sz w:val="20"/>
                <w:szCs w:val="20"/>
              </w:rPr>
              <w:t>domestica</w:t>
            </w:r>
            <w:proofErr w:type="spellEnd"/>
            <w:r w:rsidR="009906F2" w:rsidRPr="00787265">
              <w:rPr>
                <w:rFonts w:ascii="Cambria" w:hAnsi="Cambria"/>
                <w:sz w:val="20"/>
                <w:szCs w:val="20"/>
              </w:rPr>
              <w:t xml:space="preserve"> o importados, según lo dispuesto en los artículos </w:t>
            </w:r>
            <w:r w:rsidR="009906F2" w:rsidRPr="009906F2">
              <w:rPr>
                <w:rFonts w:ascii="Cambria" w:hAnsi="Cambria"/>
                <w:spacing w:val="2"/>
                <w:sz w:val="20"/>
                <w:szCs w:val="20"/>
              </w:rPr>
              <w:t>512-3</w:t>
            </w:r>
            <w:r w:rsidR="009906F2" w:rsidRPr="00787265">
              <w:rPr>
                <w:rFonts w:ascii="Cambria" w:hAnsi="Cambria"/>
                <w:sz w:val="20"/>
                <w:szCs w:val="20"/>
              </w:rPr>
              <w:t>, </w:t>
            </w:r>
            <w:r w:rsidR="009906F2" w:rsidRPr="009906F2">
              <w:rPr>
                <w:rFonts w:ascii="Cambria" w:hAnsi="Cambria"/>
                <w:spacing w:val="2"/>
                <w:sz w:val="20"/>
                <w:szCs w:val="20"/>
              </w:rPr>
              <w:t>512-4</w:t>
            </w:r>
            <w:r w:rsidR="009906F2" w:rsidRPr="00787265">
              <w:rPr>
                <w:rFonts w:ascii="Cambria" w:hAnsi="Cambria"/>
                <w:sz w:val="20"/>
                <w:szCs w:val="20"/>
              </w:rPr>
              <w:t> y </w:t>
            </w:r>
            <w:r w:rsidR="009906F2" w:rsidRPr="009906F2">
              <w:rPr>
                <w:rFonts w:ascii="Cambria" w:hAnsi="Cambria"/>
                <w:spacing w:val="2"/>
                <w:sz w:val="20"/>
                <w:szCs w:val="20"/>
              </w:rPr>
              <w:t>512-5</w:t>
            </w:r>
            <w:r w:rsidR="009906F2" w:rsidRPr="00787265">
              <w:rPr>
                <w:rFonts w:ascii="Cambria" w:hAnsi="Cambria"/>
                <w:sz w:val="20"/>
                <w:szCs w:val="20"/>
              </w:rPr>
              <w:t> de este Estatuto. El impuesto al consumo no se aplicará a las ventas de los bienes mencionados en los artículos </w:t>
            </w:r>
            <w:r w:rsidR="009906F2" w:rsidRPr="009906F2">
              <w:rPr>
                <w:rFonts w:ascii="Cambria" w:hAnsi="Cambria"/>
                <w:spacing w:val="2"/>
                <w:sz w:val="20"/>
                <w:szCs w:val="20"/>
              </w:rPr>
              <w:t>512-3</w:t>
            </w:r>
            <w:r w:rsidR="009906F2" w:rsidRPr="00787265">
              <w:rPr>
                <w:rFonts w:ascii="Cambria" w:hAnsi="Cambria"/>
                <w:sz w:val="20"/>
                <w:szCs w:val="20"/>
              </w:rPr>
              <w:t> y </w:t>
            </w:r>
            <w:r w:rsidR="009906F2" w:rsidRPr="009906F2">
              <w:rPr>
                <w:rFonts w:ascii="Cambria" w:hAnsi="Cambria"/>
                <w:spacing w:val="2"/>
                <w:sz w:val="20"/>
                <w:szCs w:val="20"/>
              </w:rPr>
              <w:t>512-4</w:t>
            </w:r>
            <w:r w:rsidR="009906F2" w:rsidRPr="00787265">
              <w:rPr>
                <w:rFonts w:ascii="Cambria" w:hAnsi="Cambria"/>
                <w:sz w:val="20"/>
                <w:szCs w:val="20"/>
              </w:rPr>
              <w:t> si son activos fijos para el vendedor, salvo de que se trate de los automotores y demás activos fijos que se vendan a nombre y por cuenta de terceros y para los aerodinos</w:t>
            </w:r>
          </w:p>
          <w:p w:rsidR="009906F2" w:rsidRPr="00787265" w:rsidRDefault="009906F2" w:rsidP="00924576">
            <w:pPr>
              <w:jc w:val="both"/>
              <w:rPr>
                <w:rFonts w:ascii="Cambria" w:hAnsi="Cambria"/>
                <w:color w:val="454545"/>
                <w:sz w:val="20"/>
                <w:szCs w:val="20"/>
              </w:rPr>
            </w:pPr>
          </w:p>
          <w:p w:rsidR="00924576" w:rsidRPr="00787265" w:rsidRDefault="00924576" w:rsidP="00924576">
            <w:pPr>
              <w:jc w:val="both"/>
              <w:rPr>
                <w:rFonts w:ascii="Cambria" w:hAnsi="Cambria"/>
                <w:sz w:val="20"/>
                <w:szCs w:val="20"/>
              </w:rPr>
            </w:pPr>
            <w:r w:rsidRPr="00787265">
              <w:rPr>
                <w:rFonts w:ascii="Cambria" w:hAnsi="Cambria"/>
                <w:sz w:val="20"/>
                <w:szCs w:val="20"/>
              </w:rPr>
              <w:t>3. El servicio de expendio de comidas y bebidas preparadas en restaurantes, cafeterías, autoservicios, heladerías, fruterías, pastelerías y panaderías para consumo en el lugar, para ser llevadas por el comprador o entregadas a domicilio, los servicios de alimentación bajo contrato, incluyendo el servicio de catering, y el servicio de expendio de comidas y bebidas alcohólicas para consumo dentro de bares, tabernas y discotecas, según lo dispuesto en los artículos </w:t>
            </w:r>
            <w:r w:rsidRPr="00787265">
              <w:rPr>
                <w:rFonts w:ascii="Cambria" w:hAnsi="Cambria"/>
                <w:spacing w:val="2"/>
                <w:sz w:val="20"/>
                <w:szCs w:val="20"/>
              </w:rPr>
              <w:t>426</w:t>
            </w:r>
            <w:r w:rsidRPr="00787265">
              <w:rPr>
                <w:rFonts w:ascii="Cambria" w:hAnsi="Cambria"/>
                <w:sz w:val="20"/>
                <w:szCs w:val="20"/>
              </w:rPr>
              <w:t>, </w:t>
            </w:r>
            <w:r w:rsidRPr="00787265">
              <w:rPr>
                <w:rFonts w:ascii="Cambria" w:hAnsi="Cambria"/>
                <w:spacing w:val="2"/>
                <w:sz w:val="20"/>
                <w:szCs w:val="20"/>
              </w:rPr>
              <w:t>512-8</w:t>
            </w:r>
            <w:r w:rsidRPr="00787265">
              <w:rPr>
                <w:rFonts w:ascii="Cambria" w:hAnsi="Cambria"/>
                <w:sz w:val="20"/>
                <w:szCs w:val="20"/>
              </w:rPr>
              <w:t>, </w:t>
            </w:r>
            <w:r w:rsidRPr="00787265">
              <w:rPr>
                <w:rFonts w:ascii="Cambria" w:hAnsi="Cambria"/>
                <w:spacing w:val="2"/>
                <w:sz w:val="20"/>
                <w:szCs w:val="20"/>
              </w:rPr>
              <w:t>512-9</w:t>
            </w:r>
            <w:r w:rsidRPr="00787265">
              <w:rPr>
                <w:rFonts w:ascii="Cambria" w:hAnsi="Cambria"/>
                <w:sz w:val="20"/>
                <w:szCs w:val="20"/>
              </w:rPr>
              <w:t>, </w:t>
            </w:r>
            <w:r w:rsidRPr="00787265">
              <w:rPr>
                <w:rFonts w:ascii="Cambria" w:hAnsi="Cambria"/>
                <w:spacing w:val="2"/>
                <w:sz w:val="20"/>
                <w:szCs w:val="20"/>
              </w:rPr>
              <w:t>512-10</w:t>
            </w:r>
            <w:r w:rsidRPr="00787265">
              <w:rPr>
                <w:rFonts w:ascii="Cambria" w:hAnsi="Cambria"/>
                <w:sz w:val="20"/>
                <w:szCs w:val="20"/>
              </w:rPr>
              <w:t>, </w:t>
            </w:r>
            <w:r w:rsidRPr="00787265">
              <w:rPr>
                <w:rFonts w:ascii="Cambria" w:hAnsi="Cambria"/>
                <w:spacing w:val="2"/>
                <w:sz w:val="20"/>
                <w:szCs w:val="20"/>
              </w:rPr>
              <w:t>512-11</w:t>
            </w:r>
            <w:r w:rsidRPr="00787265">
              <w:rPr>
                <w:rFonts w:ascii="Cambria" w:hAnsi="Cambria"/>
                <w:sz w:val="20"/>
                <w:szCs w:val="20"/>
              </w:rPr>
              <w:t>, </w:t>
            </w:r>
            <w:r w:rsidRPr="00787265">
              <w:rPr>
                <w:rFonts w:ascii="Cambria" w:hAnsi="Cambria"/>
                <w:spacing w:val="2"/>
                <w:sz w:val="20"/>
                <w:szCs w:val="20"/>
              </w:rPr>
              <w:t>512-12</w:t>
            </w:r>
            <w:r w:rsidRPr="00787265">
              <w:rPr>
                <w:rFonts w:ascii="Cambria" w:hAnsi="Cambria"/>
                <w:sz w:val="20"/>
                <w:szCs w:val="20"/>
              </w:rPr>
              <w:t> y </w:t>
            </w:r>
            <w:r w:rsidRPr="00787265">
              <w:rPr>
                <w:rFonts w:ascii="Cambria" w:hAnsi="Cambria"/>
                <w:spacing w:val="2"/>
                <w:sz w:val="20"/>
                <w:szCs w:val="20"/>
              </w:rPr>
              <w:t>512-13</w:t>
            </w:r>
            <w:r w:rsidRPr="00787265">
              <w:rPr>
                <w:rFonts w:ascii="Cambria" w:hAnsi="Cambria"/>
                <w:sz w:val="20"/>
                <w:szCs w:val="20"/>
              </w:rPr>
              <w:t> de</w:t>
            </w:r>
            <w:r>
              <w:rPr>
                <w:rFonts w:ascii="Cambria" w:hAnsi="Cambria"/>
                <w:sz w:val="20"/>
                <w:szCs w:val="20"/>
              </w:rPr>
              <w:t xml:space="preserve"> </w:t>
            </w:r>
            <w:r w:rsidRPr="00787265">
              <w:rPr>
                <w:rFonts w:ascii="Cambria" w:hAnsi="Cambria"/>
                <w:sz w:val="20"/>
                <w:szCs w:val="20"/>
              </w:rPr>
              <w:t>este</w:t>
            </w:r>
            <w:r>
              <w:rPr>
                <w:rFonts w:ascii="Cambria" w:hAnsi="Cambria"/>
                <w:sz w:val="20"/>
                <w:szCs w:val="20"/>
              </w:rPr>
              <w:t xml:space="preserve"> </w:t>
            </w:r>
            <w:r w:rsidRPr="00787265">
              <w:rPr>
                <w:rFonts w:ascii="Cambria" w:hAnsi="Cambria"/>
                <w:sz w:val="20"/>
                <w:szCs w:val="20"/>
              </w:rPr>
              <w:t xml:space="preserve">Estatuto. Este impuesto no es aplicable a las actividades de expendio de bebidas y comidas bajo franquicias. </w:t>
            </w:r>
          </w:p>
          <w:p w:rsidR="00924576" w:rsidRDefault="00924576" w:rsidP="00924576">
            <w:pPr>
              <w:jc w:val="both"/>
              <w:rPr>
                <w:rFonts w:ascii="Cambria" w:hAnsi="Cambria"/>
                <w:color w:val="454545"/>
                <w:sz w:val="20"/>
                <w:szCs w:val="20"/>
              </w:rPr>
            </w:pPr>
          </w:p>
          <w:p w:rsidR="00924576" w:rsidRPr="00924576" w:rsidRDefault="00924576" w:rsidP="00924576">
            <w:pPr>
              <w:jc w:val="both"/>
              <w:rPr>
                <w:rFonts w:ascii="Cambria" w:hAnsi="Cambria"/>
                <w:color w:val="454545"/>
                <w:sz w:val="20"/>
                <w:szCs w:val="20"/>
              </w:rPr>
            </w:pPr>
            <w:r>
              <w:rPr>
                <w:rFonts w:ascii="Cambria" w:hAnsi="Cambria"/>
                <w:sz w:val="20"/>
                <w:szCs w:val="20"/>
                <w:highlight w:val="yellow"/>
              </w:rPr>
              <w:t xml:space="preserve">4. </w:t>
            </w:r>
            <w:r w:rsidRPr="00924576">
              <w:rPr>
                <w:rFonts w:ascii="Cambria" w:hAnsi="Cambria"/>
                <w:sz w:val="20"/>
                <w:szCs w:val="20"/>
                <w:highlight w:val="yellow"/>
              </w:rPr>
              <w:t>La prestación de servicios de esparcimiento, culturales y deportivos superiores a diez (10) UVT según lo dispuesto en el parágrafo 4 de este artículo</w:t>
            </w:r>
            <w:r w:rsidRPr="00924576">
              <w:rPr>
                <w:rFonts w:ascii="Cambria" w:hAnsi="Cambria"/>
                <w:sz w:val="20"/>
                <w:szCs w:val="20"/>
              </w:rPr>
              <w:t xml:space="preserve"> </w:t>
            </w:r>
          </w:p>
          <w:p w:rsidR="00924576" w:rsidRDefault="00924576" w:rsidP="00924576">
            <w:pPr>
              <w:jc w:val="both"/>
              <w:rPr>
                <w:rFonts w:ascii="Cambria" w:hAnsi="Cambria"/>
                <w:color w:val="454545"/>
                <w:sz w:val="20"/>
                <w:szCs w:val="20"/>
              </w:rPr>
            </w:pPr>
          </w:p>
          <w:p w:rsidR="00924576" w:rsidRPr="00787265" w:rsidRDefault="00924576" w:rsidP="00924576">
            <w:pPr>
              <w:jc w:val="both"/>
              <w:rPr>
                <w:rFonts w:ascii="Cambria" w:hAnsi="Cambria"/>
                <w:color w:val="454545"/>
                <w:sz w:val="20"/>
                <w:szCs w:val="20"/>
              </w:rPr>
            </w:pPr>
          </w:p>
          <w:p w:rsidR="00924576" w:rsidRDefault="00924576" w:rsidP="00924576">
            <w:pPr>
              <w:jc w:val="both"/>
              <w:rPr>
                <w:rFonts w:ascii="Cambria" w:hAnsi="Cambria"/>
                <w:sz w:val="20"/>
                <w:szCs w:val="20"/>
              </w:rPr>
            </w:pPr>
            <w:r w:rsidRPr="00787265">
              <w:rPr>
                <w:rFonts w:ascii="Cambria" w:hAnsi="Cambria"/>
                <w:sz w:val="20"/>
                <w:szCs w:val="20"/>
              </w:rPr>
              <w:t xml:space="preserve">El impuesto se causará al momento del </w:t>
            </w:r>
            <w:proofErr w:type="spellStart"/>
            <w:r w:rsidRPr="00787265">
              <w:rPr>
                <w:rFonts w:ascii="Cambria" w:hAnsi="Cambria"/>
                <w:sz w:val="20"/>
                <w:szCs w:val="20"/>
              </w:rPr>
              <w:t>desaduanamiento</w:t>
            </w:r>
            <w:proofErr w:type="spellEnd"/>
            <w:r w:rsidRPr="00787265">
              <w:rPr>
                <w:rFonts w:ascii="Cambria" w:hAnsi="Cambria"/>
                <w:sz w:val="20"/>
                <w:szCs w:val="20"/>
              </w:rPr>
              <w:t xml:space="preserve"> del bien importado por el consumidor final, la entrega material del bien, de la prestación del servicio o de la expedición de la cuenta de cobro, tiquete de registradora, factura o documento equivalente por parte del responsable al consumidor final.</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Son responsables del impuesto al consumo el prestador del servicio de telefonía móvil, datos y/o internet y navegación móvil, el prestador del servicio de expendio de comidas y bebidas, el importador como usuario final, el vendedor de los bienes sujetos al impuesto al consumo y en la venta de vehículos usados el intermediario profesional.</w:t>
            </w:r>
          </w:p>
          <w:p w:rsidR="00924576"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Pr="00787265" w:rsidRDefault="00924576" w:rsidP="00924576">
            <w:pPr>
              <w:jc w:val="both"/>
              <w:rPr>
                <w:rFonts w:ascii="Cambria" w:hAnsi="Cambria"/>
                <w:color w:val="454545"/>
                <w:sz w:val="20"/>
                <w:szCs w:val="20"/>
              </w:rPr>
            </w:pPr>
          </w:p>
          <w:p w:rsidR="00924576" w:rsidRDefault="00924576" w:rsidP="00924576">
            <w:pPr>
              <w:jc w:val="both"/>
              <w:rPr>
                <w:rFonts w:ascii="Cambria" w:hAnsi="Cambria"/>
                <w:sz w:val="20"/>
                <w:szCs w:val="20"/>
              </w:rPr>
            </w:pPr>
            <w:r w:rsidRPr="00787265">
              <w:rPr>
                <w:rFonts w:ascii="Cambria" w:hAnsi="Cambria"/>
                <w:sz w:val="20"/>
                <w:szCs w:val="20"/>
              </w:rPr>
              <w:lastRenderedPageBreak/>
              <w:t>El impuesto nacional al consumo de que trata el presente artículo constituye para el comprador un costo deducible del impuesto sobre la renta como mayor valor del bien o servicio adquirido.</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El impuesto nacional al consumo no genera impuestos descontables en el impuesto sobre las ventas (IVA).</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Fonts w:ascii="Cambria" w:hAnsi="Cambria"/>
                <w:sz w:val="20"/>
                <w:szCs w:val="20"/>
              </w:rPr>
              <w:t>El no cumplimiento de las obligaciones que consagra este artículo dará lugar a las sanciones aplicables al impuesto sobre las ventas (IVA).</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color w:val="454545"/>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El período gravable para la declaración y pago del impuesto nacional al consumo será bimestral. Los períodos bimestrales son: enero-febrero; marzo-abril; mayo-junio; julio-agosto; septiembre-octubre; noviembre-diciembre.</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r w:rsidRPr="00787265">
              <w:rPr>
                <w:rFonts w:ascii="Cambria" w:hAnsi="Cambria"/>
                <w:sz w:val="20"/>
                <w:szCs w:val="20"/>
              </w:rPr>
              <w:t>En el caso de liquidación o terminación de actividades durante el ejercicio, el período gravable se contará desde su iniciación hasta las fechas señaladas en el artículo </w:t>
            </w:r>
            <w:hyperlink r:id="rId98" w:anchor="595" w:history="1">
              <w:r w:rsidRPr="00787265">
                <w:rPr>
                  <w:rStyle w:val="Hipervnculo"/>
                  <w:rFonts w:ascii="Cambria" w:hAnsi="Cambria"/>
                  <w:color w:val="00A9E0"/>
                  <w:spacing w:val="2"/>
                  <w:sz w:val="20"/>
                  <w:szCs w:val="20"/>
                </w:rPr>
                <w:t>595</w:t>
              </w:r>
            </w:hyperlink>
            <w:r w:rsidRPr="00787265">
              <w:rPr>
                <w:rFonts w:ascii="Cambria" w:hAnsi="Cambria"/>
                <w:sz w:val="20"/>
                <w:szCs w:val="20"/>
              </w:rPr>
              <w:t> de este Estatuto.</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color w:val="454545"/>
                <w:sz w:val="20"/>
                <w:szCs w:val="20"/>
              </w:rPr>
            </w:pPr>
            <w:r w:rsidRPr="00787265">
              <w:rPr>
                <w:rFonts w:ascii="Cambria" w:hAnsi="Cambria"/>
                <w:sz w:val="20"/>
                <w:szCs w:val="20"/>
              </w:rPr>
              <w:t>Cuando se inicien actividades durante el ejercicio, el período gravable será el comprendido entre la fecha de iniciación de actividades y la fecha de finalización del respectivo período.</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924576"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Facúltese al Gobierno nacional para realizar las incorporaciones y sustituciones al Presupuesto General de la Nación que sean necesarias para adecuar las rentas y apropiaciones presupuestales a lo dispuesto en el presente artículo, sin que con ello se modifique el monto total aprobado por el Congreso de la República.</w:t>
            </w:r>
          </w:p>
          <w:p w:rsidR="00924576" w:rsidRPr="00787265" w:rsidRDefault="00924576" w:rsidP="00924576">
            <w:pPr>
              <w:jc w:val="both"/>
              <w:rPr>
                <w:rFonts w:ascii="Cambria" w:hAnsi="Cambria"/>
                <w:sz w:val="20"/>
                <w:szCs w:val="20"/>
              </w:rPr>
            </w:pPr>
          </w:p>
          <w:p w:rsidR="00924576"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Excluir del Impuesto Nacional al Consumo al departamento del Amazonas y al Archipiélago de San Andrés, Providencia y Santa Catalina, con excepción de lo dispuesto en el artículo </w:t>
            </w:r>
            <w:r w:rsidRPr="00787265">
              <w:rPr>
                <w:rFonts w:ascii="Cambria" w:hAnsi="Cambria"/>
                <w:spacing w:val="2"/>
                <w:sz w:val="20"/>
                <w:szCs w:val="20"/>
              </w:rPr>
              <w:t>512-7</w:t>
            </w:r>
            <w:r w:rsidRPr="00787265">
              <w:rPr>
                <w:rFonts w:ascii="Cambria" w:hAnsi="Cambria"/>
                <w:sz w:val="20"/>
                <w:szCs w:val="20"/>
              </w:rPr>
              <w:t> del Estatuto Tributario.</w:t>
            </w:r>
          </w:p>
          <w:p w:rsidR="00924576" w:rsidRDefault="00924576" w:rsidP="00924576">
            <w:pPr>
              <w:jc w:val="both"/>
              <w:rPr>
                <w:rFonts w:ascii="Cambria" w:hAnsi="Cambria"/>
                <w:sz w:val="20"/>
                <w:szCs w:val="20"/>
              </w:rPr>
            </w:pPr>
          </w:p>
          <w:p w:rsidR="00924576" w:rsidRPr="00924576" w:rsidRDefault="00924576" w:rsidP="005F4F5A">
            <w:pPr>
              <w:pStyle w:val="Default"/>
              <w:jc w:val="both"/>
              <w:rPr>
                <w:rFonts w:ascii="Cambria" w:hAnsi="Cambria"/>
                <w:color w:val="auto"/>
                <w:sz w:val="20"/>
                <w:szCs w:val="20"/>
                <w:highlight w:val="yellow"/>
              </w:rPr>
            </w:pPr>
            <w:r w:rsidRPr="00924576">
              <w:rPr>
                <w:rFonts w:ascii="Cambria" w:hAnsi="Cambria"/>
                <w:b/>
                <w:bCs/>
                <w:sz w:val="20"/>
                <w:szCs w:val="20"/>
                <w:highlight w:val="yellow"/>
              </w:rPr>
              <w:t xml:space="preserve">Parágrafo 4. </w:t>
            </w:r>
            <w:r w:rsidRPr="00924576">
              <w:rPr>
                <w:rFonts w:ascii="Cambria" w:hAnsi="Cambria"/>
                <w:sz w:val="20"/>
                <w:szCs w:val="20"/>
                <w:highlight w:val="yellow"/>
              </w:rPr>
              <w:t xml:space="preserve">Los servicios de esparcimiento, culturales y deportivos estarán gravados con la tarifa del diecinueve por ciento (19%) sobre la totalidad del servicio. La base gravable en los servicios prestados en este artículo estará integrada por el </w:t>
            </w:r>
            <w:r w:rsidRPr="00924576">
              <w:rPr>
                <w:rFonts w:ascii="Cambria" w:hAnsi="Cambria"/>
                <w:color w:val="auto"/>
                <w:sz w:val="20"/>
                <w:szCs w:val="20"/>
                <w:highlight w:val="yellow"/>
              </w:rPr>
              <w:t xml:space="preserve">precio de entrada y demás cargos asociados al mismo. El impuesto se causará al momento del pago de la entrada y sus cargos asociados. </w:t>
            </w:r>
          </w:p>
          <w:p w:rsidR="005F4F5A" w:rsidRDefault="005F4F5A" w:rsidP="00924576">
            <w:pPr>
              <w:jc w:val="both"/>
              <w:rPr>
                <w:rFonts w:ascii="Cambria" w:hAnsi="Cambria"/>
                <w:sz w:val="20"/>
                <w:szCs w:val="20"/>
                <w:highlight w:val="yellow"/>
              </w:rPr>
            </w:pPr>
          </w:p>
          <w:p w:rsidR="00924576" w:rsidRPr="00924576" w:rsidRDefault="00924576" w:rsidP="00924576">
            <w:pPr>
              <w:jc w:val="both"/>
              <w:rPr>
                <w:rFonts w:ascii="Cambria" w:hAnsi="Cambria"/>
                <w:sz w:val="20"/>
                <w:szCs w:val="20"/>
              </w:rPr>
            </w:pPr>
            <w:r w:rsidRPr="00924576">
              <w:rPr>
                <w:rFonts w:ascii="Cambria" w:hAnsi="Cambria"/>
                <w:sz w:val="20"/>
                <w:szCs w:val="20"/>
                <w:highlight w:val="yellow"/>
              </w:rPr>
              <w:t xml:space="preserve">El impuesto debe discriminarse en la cuenta de cobro, tiquete de registradora, factura o documento equivalente y deberá calcularse previamente e </w:t>
            </w:r>
            <w:r w:rsidRPr="00924576">
              <w:rPr>
                <w:rFonts w:ascii="Cambria" w:hAnsi="Cambria"/>
                <w:sz w:val="20"/>
                <w:szCs w:val="20"/>
                <w:highlight w:val="yellow"/>
              </w:rPr>
              <w:lastRenderedPageBreak/>
              <w:t>incluirse en la lista de precios al público, sin perjuicio de lo señalado en el artículo 618 de este Estatuto.</w:t>
            </w:r>
            <w:r w:rsidRPr="00924576">
              <w:rPr>
                <w:rFonts w:ascii="Cambria" w:hAnsi="Cambria"/>
                <w:sz w:val="20"/>
                <w:szCs w:val="20"/>
              </w:rPr>
              <w:t xml:space="preserve"> </w:t>
            </w:r>
          </w:p>
          <w:p w:rsidR="00924576" w:rsidRPr="00787265" w:rsidRDefault="00924576" w:rsidP="00924576">
            <w:pPr>
              <w:jc w:val="both"/>
              <w:rPr>
                <w:rFonts w:ascii="Cambria" w:hAnsi="Cambria"/>
                <w:b/>
                <w:bCs/>
                <w:color w:val="000000" w:themeColor="text1"/>
                <w:sz w:val="20"/>
                <w:szCs w:val="20"/>
              </w:rPr>
            </w:pPr>
          </w:p>
        </w:tc>
      </w:tr>
      <w:tr w:rsidR="00924576" w:rsidTr="0059378C">
        <w:tc>
          <w:tcPr>
            <w:tcW w:w="4958" w:type="dxa"/>
          </w:tcPr>
          <w:p w:rsidR="00924576" w:rsidRDefault="00924576" w:rsidP="00924576">
            <w:pPr>
              <w:jc w:val="both"/>
              <w:rPr>
                <w:rFonts w:ascii="Cambria" w:hAnsi="Cambria"/>
                <w:color w:val="454545"/>
                <w:sz w:val="20"/>
                <w:szCs w:val="20"/>
              </w:rPr>
            </w:pPr>
            <w:bookmarkStart w:id="29" w:name="512-3"/>
            <w:r w:rsidRPr="00924576">
              <w:rPr>
                <w:rFonts w:ascii="Cambria" w:hAnsi="Cambria"/>
                <w:b/>
                <w:bCs/>
                <w:color w:val="000000" w:themeColor="text1"/>
                <w:sz w:val="20"/>
                <w:szCs w:val="20"/>
                <w:u w:val="single"/>
              </w:rPr>
              <w:lastRenderedPageBreak/>
              <w:t>Artículo 512-3. Bienes gravados a la tarifa del 8%.</w:t>
            </w:r>
            <w:bookmarkEnd w:id="29"/>
            <w:r w:rsidRPr="00924576">
              <w:rPr>
                <w:rFonts w:ascii="Cambria" w:hAnsi="Cambria"/>
                <w:color w:val="000000" w:themeColor="text1"/>
                <w:sz w:val="20"/>
                <w:szCs w:val="20"/>
              </w:rPr>
              <w:t> </w:t>
            </w:r>
            <w:r w:rsidR="009906F2">
              <w:rPr>
                <w:rFonts w:ascii="Cambria" w:hAnsi="Cambria"/>
                <w:color w:val="000000" w:themeColor="text1"/>
                <w:sz w:val="20"/>
                <w:szCs w:val="20"/>
              </w:rPr>
              <w:t>D</w:t>
            </w:r>
            <w:r w:rsidRPr="00787265">
              <w:rPr>
                <w:rFonts w:ascii="Cambria" w:hAnsi="Cambria"/>
                <w:sz w:val="20"/>
                <w:szCs w:val="20"/>
              </w:rPr>
              <w:t>e acuerdo con la nomenclatura arancelaria andina vigente los bienes gravados a la tarifa del ocho por ciento (8%) son:</w:t>
            </w:r>
          </w:p>
          <w:p w:rsidR="00924576"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p w:rsidR="00D17C41" w:rsidRPr="00787265" w:rsidRDefault="00D17C41" w:rsidP="00924576">
            <w:pPr>
              <w:jc w:val="both"/>
              <w:rPr>
                <w:rFonts w:ascii="Cambria" w:hAnsi="Cambria"/>
                <w:color w:val="454545"/>
                <w:sz w:val="20"/>
                <w:szCs w:val="20"/>
              </w:rPr>
            </w:pPr>
          </w:p>
          <w:tbl>
            <w:tblPr>
              <w:tblW w:w="5050" w:type="pct"/>
              <w:tblCellSpacing w:w="15" w:type="dxa"/>
              <w:tblCellMar>
                <w:top w:w="15" w:type="dxa"/>
                <w:left w:w="15" w:type="dxa"/>
                <w:bottom w:w="15" w:type="dxa"/>
                <w:right w:w="15" w:type="dxa"/>
              </w:tblCellMar>
              <w:tblLook w:val="04A0" w:firstRow="1" w:lastRow="0" w:firstColumn="1" w:lastColumn="0" w:noHBand="0" w:noVBand="1"/>
            </w:tblPr>
            <w:tblGrid>
              <w:gridCol w:w="529"/>
              <w:gridCol w:w="4260"/>
            </w:tblGrid>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87.03</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Los vehículos automóviles de tipo familiar y camperos, cuyo valor FOB o el equivalente del valor FOB, sea inferior a USD $30.000, con sus accesorios.</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87.04</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Pick-up cuyo valor FOB o el equivalente del valor FOB, sea inferior a USD $30.000, con sus accesorios.</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87.11</w:t>
                  </w:r>
                </w:p>
              </w:tc>
              <w:tc>
                <w:tcPr>
                  <w:tcW w:w="46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Motocicletas con motor de émbolo (pistón) alternativo de cilindrada superior a 200 c.c.</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89.03</w:t>
                  </w:r>
                </w:p>
              </w:tc>
              <w:tc>
                <w:tcPr>
                  <w:tcW w:w="46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Yates y demás barcos y embarcaciones de recreo o deporte; barcas (botes) de remo y canoas.</w:t>
                  </w:r>
                </w:p>
              </w:tc>
            </w:tr>
          </w:tbl>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Para efectos de lo dispuesto en el presente artículo se entiende como Pick-Up aquel vehículo automotor de cuatro ruedas clasificado en la partida 87.04 del arancel de aduanas, de peso total con carga máxima (Peso Bruto Vehicular) igual o inferior a diez mil (10.000) libras americanas, destinado principalmente para el transporte de mercancías, cuya caja, platón, furgón, estacas u otros receptáculos destinados a portar la carga, una vez instalados, quedan fijados a un chasis o bastidor independiente y están separados de una cabina cerrada, que puede ser sencilla, semidoble o doble para el conductor y los pasajeros.</w:t>
            </w:r>
          </w:p>
          <w:p w:rsidR="00924576" w:rsidRDefault="00924576" w:rsidP="00924576">
            <w:pPr>
              <w:jc w:val="both"/>
              <w:rPr>
                <w:rStyle w:val="baj"/>
                <w:rFonts w:ascii="Cambria" w:hAnsi="Cambria"/>
                <w:b/>
                <w:bCs/>
                <w:color w:val="343536"/>
                <w:spacing w:val="2"/>
                <w:sz w:val="20"/>
                <w:szCs w:val="20"/>
              </w:rPr>
            </w:pPr>
          </w:p>
          <w:p w:rsidR="00480CBA" w:rsidRDefault="00480CBA"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Para efectos de la aplicación de las tarifas del impuesto nacional al consumo aquí referidas, el valor equivalente al valor FOB para los vehículos automóviles y camperos ensamblados o producidos en Colombia, será el valor FOB promedio consignado en las Declaraciones de Exportación de los vehículos de la misma marca, modelo y especificaciones, exportados durante el semestre calendario inmediatamente anterior al de la venta.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La base del impuesto en la venta de vehículos automotores al consumidor final o a la importación por este, será el valor total del bien, incluidos todos los accesorios de fábrica que hagan parte del valor total pagado por el adquirente, sin Incluir el impuesto a las ventas.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lastRenderedPageBreak/>
              <w:t>PARÁGRAFO 4o.</w:t>
            </w:r>
            <w:r w:rsidRPr="00787265">
              <w:rPr>
                <w:rFonts w:ascii="Cambria" w:hAnsi="Cambria"/>
                <w:sz w:val="20"/>
                <w:szCs w:val="20"/>
              </w:rPr>
              <w:t> En el caso de la venta de vehículos y aerodinos usados adquiridos de propietarios para quienes los mismos constituían activos fijos, la base gravable estará conformada por la diferencia entre el valor total de la operación, determinado de acuerdo con lo previsto en el parágrafo 3 del presente artículo, y el precio de compra.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5o.</w:t>
            </w:r>
            <w:r w:rsidRPr="00787265">
              <w:rPr>
                <w:rFonts w:ascii="Cambria" w:hAnsi="Cambria"/>
                <w:sz w:val="20"/>
                <w:szCs w:val="20"/>
              </w:rPr>
              <w:t> El impuesto nacional al consumo no se aplicará a los vehículos usados que tengan más de cuatro (4) años contados desde la venta inicial al consumidor final o la importación por este.</w:t>
            </w:r>
          </w:p>
          <w:p w:rsidR="00924576" w:rsidRPr="00787265" w:rsidRDefault="00924576" w:rsidP="00924576">
            <w:pPr>
              <w:jc w:val="both"/>
              <w:rPr>
                <w:rFonts w:ascii="Cambria" w:hAnsi="Cambria"/>
                <w:b/>
                <w:bCs/>
                <w:color w:val="000000" w:themeColor="text1"/>
                <w:sz w:val="20"/>
                <w:szCs w:val="20"/>
              </w:rPr>
            </w:pPr>
          </w:p>
        </w:tc>
        <w:tc>
          <w:tcPr>
            <w:tcW w:w="4865" w:type="dxa"/>
          </w:tcPr>
          <w:p w:rsidR="00924576" w:rsidRDefault="00924576" w:rsidP="00924576">
            <w:pPr>
              <w:jc w:val="both"/>
              <w:rPr>
                <w:rFonts w:ascii="Cambria" w:hAnsi="Cambria"/>
                <w:color w:val="454545"/>
                <w:sz w:val="20"/>
                <w:szCs w:val="20"/>
              </w:rPr>
            </w:pPr>
            <w:r w:rsidRPr="00924576">
              <w:rPr>
                <w:rFonts w:ascii="Cambria" w:hAnsi="Cambria"/>
                <w:b/>
                <w:bCs/>
                <w:color w:val="000000" w:themeColor="text1"/>
                <w:sz w:val="20"/>
                <w:szCs w:val="20"/>
                <w:u w:val="single"/>
              </w:rPr>
              <w:lastRenderedPageBreak/>
              <w:t>Artículo 512-3. Bienes gravados a la tarifa del 8%.</w:t>
            </w:r>
            <w:r w:rsidR="00D17C41" w:rsidRPr="00D17C41">
              <w:rPr>
                <w:rFonts w:ascii="Cambria" w:hAnsi="Cambria"/>
                <w:b/>
                <w:bCs/>
                <w:color w:val="FF0000"/>
                <w:sz w:val="20"/>
                <w:szCs w:val="20"/>
              </w:rPr>
              <w:t>(modificado con artículo 2</w:t>
            </w:r>
            <w:r w:rsidR="00D17C41">
              <w:rPr>
                <w:rFonts w:ascii="Cambria" w:hAnsi="Cambria"/>
                <w:b/>
                <w:bCs/>
                <w:color w:val="FF0000"/>
                <w:sz w:val="20"/>
                <w:szCs w:val="20"/>
              </w:rPr>
              <w:t>6</w:t>
            </w:r>
            <w:r w:rsidR="00D17C41" w:rsidRPr="00D17C41">
              <w:rPr>
                <w:rFonts w:ascii="Cambria" w:hAnsi="Cambria"/>
                <w:b/>
                <w:bCs/>
                <w:color w:val="FF0000"/>
                <w:sz w:val="20"/>
                <w:szCs w:val="20"/>
              </w:rPr>
              <w:t xml:space="preserve"> del proyecto de </w:t>
            </w:r>
            <w:r w:rsidR="00FB60A2">
              <w:rPr>
                <w:rFonts w:ascii="Cambria" w:hAnsi="Cambria"/>
                <w:b/>
                <w:bCs/>
                <w:color w:val="FF0000"/>
                <w:sz w:val="20"/>
                <w:szCs w:val="20"/>
              </w:rPr>
              <w:t>Ley de septiembre de 2025</w:t>
            </w:r>
            <w:r w:rsidR="00D17C41" w:rsidRPr="00D17C41">
              <w:rPr>
                <w:rFonts w:ascii="Cambria" w:hAnsi="Cambria"/>
                <w:b/>
                <w:bCs/>
                <w:color w:val="FF0000"/>
                <w:sz w:val="20"/>
                <w:szCs w:val="20"/>
              </w:rPr>
              <w:t>).</w:t>
            </w:r>
            <w:r w:rsidR="00D17C41" w:rsidRPr="00D17C41">
              <w:rPr>
                <w:rFonts w:ascii="Cambria" w:hAnsi="Cambria"/>
                <w:color w:val="FF0000"/>
                <w:sz w:val="20"/>
                <w:szCs w:val="20"/>
              </w:rPr>
              <w:t> </w:t>
            </w:r>
            <w:r w:rsidRPr="00924576">
              <w:rPr>
                <w:rFonts w:ascii="Cambria" w:hAnsi="Cambria"/>
                <w:color w:val="000000" w:themeColor="text1"/>
                <w:sz w:val="20"/>
                <w:szCs w:val="20"/>
              </w:rPr>
              <w:t> </w:t>
            </w:r>
            <w:r w:rsidR="009906F2">
              <w:rPr>
                <w:rFonts w:ascii="Cambria" w:hAnsi="Cambria"/>
                <w:color w:val="000000" w:themeColor="text1"/>
                <w:sz w:val="20"/>
                <w:szCs w:val="20"/>
              </w:rPr>
              <w:t>D</w:t>
            </w:r>
            <w:r w:rsidRPr="00787265">
              <w:rPr>
                <w:rFonts w:ascii="Cambria" w:hAnsi="Cambria"/>
                <w:sz w:val="20"/>
                <w:szCs w:val="20"/>
              </w:rPr>
              <w:t>e acuerdo con la nomenclatura arancelaria andina vigente los bienes gravados a la tarifa del ocho por ciento (8%) son:</w:t>
            </w:r>
          </w:p>
          <w:p w:rsidR="00924576" w:rsidRPr="00787265" w:rsidRDefault="00924576" w:rsidP="00924576">
            <w:pPr>
              <w:jc w:val="both"/>
              <w:rPr>
                <w:rFonts w:ascii="Cambria" w:hAnsi="Cambria"/>
                <w:color w:val="454545"/>
                <w:sz w:val="20"/>
                <w:szCs w:val="20"/>
              </w:rPr>
            </w:pPr>
            <w:r w:rsidRPr="00787265">
              <w:rPr>
                <w:rFonts w:ascii="Cambria" w:hAnsi="Cambria"/>
                <w:color w:val="454545"/>
                <w:sz w:val="20"/>
                <w:szCs w:val="20"/>
              </w:rPr>
              <w:t xml:space="preserve"> </w:t>
            </w:r>
          </w:p>
          <w:tbl>
            <w:tblPr>
              <w:tblW w:w="5050" w:type="pct"/>
              <w:tblCellSpacing w:w="15" w:type="dxa"/>
              <w:tblCellMar>
                <w:top w:w="15" w:type="dxa"/>
                <w:left w:w="15" w:type="dxa"/>
                <w:bottom w:w="15" w:type="dxa"/>
                <w:right w:w="15" w:type="dxa"/>
              </w:tblCellMar>
              <w:tblLook w:val="04A0" w:firstRow="1" w:lastRow="0" w:firstColumn="1" w:lastColumn="0" w:noHBand="0" w:noVBand="1"/>
            </w:tblPr>
            <w:tblGrid>
              <w:gridCol w:w="529"/>
              <w:gridCol w:w="4166"/>
            </w:tblGrid>
            <w:tr w:rsidR="00924576" w:rsidRPr="00787265" w:rsidTr="0092734A">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87.03</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Los vehículos automóviles de tipo familiar y camperos, cuyo valor FOB o el equivalente del valor FOB, sea inferior a USD $30.000, con sus accesorios.</w:t>
                  </w:r>
                </w:p>
              </w:tc>
            </w:tr>
            <w:tr w:rsidR="00924576" w:rsidRPr="00787265" w:rsidTr="0092734A">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87.04</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Fonts w:ascii="Cambria" w:hAnsi="Cambria"/>
                      <w:sz w:val="20"/>
                      <w:szCs w:val="20"/>
                    </w:rPr>
                    <w:t>Pick-up cuyo valor FOB o el equivalente del valor FOB, sea inferior a USD $30.000, con sus accesorios.</w:t>
                  </w:r>
                </w:p>
              </w:tc>
            </w:tr>
            <w:tr w:rsidR="00924576" w:rsidRPr="00787265" w:rsidTr="0092734A">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87.11</w:t>
                  </w:r>
                </w:p>
              </w:tc>
              <w:tc>
                <w:tcPr>
                  <w:tcW w:w="46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Motocicletas con motor de émbolo (pistón) alternativo de cilindrada superior a 200 c.c.</w:t>
                  </w:r>
                </w:p>
              </w:tc>
            </w:tr>
            <w:tr w:rsidR="00924576" w:rsidRPr="00787265" w:rsidTr="0092734A">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89.03</w:t>
                  </w:r>
                </w:p>
              </w:tc>
              <w:tc>
                <w:tcPr>
                  <w:tcW w:w="4600" w:type="pct"/>
                  <w:tcBorders>
                    <w:top w:val="nil"/>
                    <w:left w:val="nil"/>
                    <w:bottom w:val="nil"/>
                    <w:right w:val="nil"/>
                  </w:tcBorders>
                  <w:tcMar>
                    <w:top w:w="0" w:type="dxa"/>
                    <w:left w:w="0" w:type="dxa"/>
                    <w:bottom w:w="0" w:type="dxa"/>
                    <w:right w:w="0" w:type="dxa"/>
                  </w:tcMar>
                  <w:hideMark/>
                </w:tcPr>
                <w:p w:rsidR="00924576" w:rsidRPr="009906F2" w:rsidRDefault="00924576" w:rsidP="00924576">
                  <w:pPr>
                    <w:jc w:val="both"/>
                    <w:rPr>
                      <w:rFonts w:ascii="Cambria" w:hAnsi="Cambria"/>
                      <w:sz w:val="20"/>
                      <w:szCs w:val="20"/>
                      <w:highlight w:val="yellow"/>
                    </w:rPr>
                  </w:pPr>
                  <w:r w:rsidRPr="009906F2">
                    <w:rPr>
                      <w:rFonts w:ascii="Cambria" w:hAnsi="Cambria"/>
                      <w:sz w:val="20"/>
                      <w:szCs w:val="20"/>
                      <w:highlight w:val="yellow"/>
                    </w:rPr>
                    <w:t>Yates y demás barcos y embarcaciones de recreo o deporte; barcas (botes) de remo y canoas.</w:t>
                  </w:r>
                </w:p>
              </w:tc>
            </w:tr>
          </w:tbl>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Para efectos de lo dispuesto en el presente artículo se entiende como Pick-Up aquel vehículo automotor de cuatro ruedas clasificado en la partida 87.04 del arancel de aduanas, de peso total con carga máxima (Peso Bruto Vehicular) igual o inferior a diez mil (10.000) libras americanas, destinado principalmente para el transporte de mercancías, cuya caja, platón, furgón, estacas u otros receptáculos destinados a portar la carga, una vez instalados, quedan fijados a un chasis o bastidor independiente y están separados de una cabina cerrada, que puede ser sencilla, semidoble o doble para el conductor y los pasajeros.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Para efectos de la aplicación de las tarifas del impuesto nacional al consumo aquí referidas, el valor equivalente al valor FOB para los vehículos automóviles y camperos ensamblados o producidos en Colombia, será el valor FOB promedio consignado en las Declaraciones de Exportación de los vehículos de la misma marca, modelo y especificaciones, exportados durante el semestre calendario inmediatamente anterior al de la venta.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La base del impuesto en la venta de vehículos automotores al consumidor final o a la importación por este, será el valor total del bien, incluidos todos los accesorios de fábrica que hagan parte del valor total pagado por el adquirente, sin Incluir el impuesto a las ventas.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lastRenderedPageBreak/>
              <w:t>PARÁGRAFO 4o.</w:t>
            </w:r>
            <w:r w:rsidRPr="00787265">
              <w:rPr>
                <w:rFonts w:ascii="Cambria" w:hAnsi="Cambria"/>
                <w:sz w:val="20"/>
                <w:szCs w:val="20"/>
              </w:rPr>
              <w:t> En el caso de la venta de vehículos y aerodinos usados adquiridos de propietarios para quienes los mismos constituían activos fijos, la base gravable estará conformada por la diferencia entre el valor total de la operación, determinado de acuerdo con lo previsto en el parágrafo 3 del presente artículo, y el precio de compra.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5o.</w:t>
            </w:r>
            <w:r w:rsidRPr="00787265">
              <w:rPr>
                <w:rFonts w:ascii="Cambria" w:hAnsi="Cambria"/>
                <w:sz w:val="20"/>
                <w:szCs w:val="20"/>
              </w:rPr>
              <w:t> El impuesto nacional al consumo no se aplicará a los vehículos usados que tengan más de cuatro (4) años contados desde la venta inicial al consumidor final o la importación por este.</w:t>
            </w:r>
          </w:p>
          <w:p w:rsidR="00924576" w:rsidRPr="00787265" w:rsidRDefault="00924576" w:rsidP="00924576">
            <w:pPr>
              <w:jc w:val="both"/>
              <w:rPr>
                <w:rFonts w:ascii="Cambria" w:hAnsi="Cambria"/>
                <w:b/>
                <w:bCs/>
                <w:color w:val="000000" w:themeColor="text1"/>
                <w:sz w:val="20"/>
                <w:szCs w:val="20"/>
              </w:rPr>
            </w:pPr>
          </w:p>
        </w:tc>
      </w:tr>
      <w:tr w:rsidR="00924576" w:rsidTr="0059378C">
        <w:tc>
          <w:tcPr>
            <w:tcW w:w="4958" w:type="dxa"/>
          </w:tcPr>
          <w:p w:rsidR="00924576" w:rsidRDefault="00924576" w:rsidP="00924576">
            <w:pPr>
              <w:jc w:val="both"/>
              <w:rPr>
                <w:rFonts w:ascii="Cambria" w:hAnsi="Cambria"/>
                <w:sz w:val="20"/>
                <w:szCs w:val="20"/>
              </w:rPr>
            </w:pPr>
            <w:bookmarkStart w:id="30" w:name="512-4"/>
            <w:r w:rsidRPr="00924576">
              <w:rPr>
                <w:rFonts w:ascii="Cambria" w:hAnsi="Cambria"/>
                <w:b/>
                <w:bCs/>
                <w:color w:val="000000" w:themeColor="text1"/>
                <w:sz w:val="20"/>
                <w:szCs w:val="20"/>
              </w:rPr>
              <w:lastRenderedPageBreak/>
              <w:t xml:space="preserve">Artículo 512-4. Bienes gravados a la tarifa del </w:t>
            </w:r>
            <w:r w:rsidRPr="00480CBA">
              <w:rPr>
                <w:rFonts w:ascii="Cambria" w:hAnsi="Cambria"/>
                <w:b/>
                <w:bCs/>
                <w:color w:val="000000" w:themeColor="text1"/>
                <w:sz w:val="20"/>
                <w:szCs w:val="20"/>
                <w:highlight w:val="yellow"/>
              </w:rPr>
              <w:t>16%</w:t>
            </w:r>
            <w:r w:rsidRPr="00924576">
              <w:rPr>
                <w:rFonts w:ascii="Cambria" w:hAnsi="Cambria"/>
                <w:b/>
                <w:bCs/>
                <w:color w:val="000000" w:themeColor="text1"/>
                <w:sz w:val="20"/>
                <w:szCs w:val="20"/>
              </w:rPr>
              <w:t>.</w:t>
            </w:r>
            <w:bookmarkEnd w:id="30"/>
            <w:r w:rsidRPr="00924576">
              <w:rPr>
                <w:rFonts w:ascii="Cambria" w:hAnsi="Cambria"/>
                <w:color w:val="000000" w:themeColor="text1"/>
                <w:sz w:val="20"/>
                <w:szCs w:val="20"/>
              </w:rPr>
              <w:t> </w:t>
            </w:r>
            <w:r w:rsidRPr="00787265">
              <w:rPr>
                <w:rFonts w:ascii="Cambria" w:hAnsi="Cambria"/>
                <w:sz w:val="20"/>
                <w:szCs w:val="20"/>
              </w:rPr>
              <w:t xml:space="preserve">De acuerdo con la nomenclatura arancelaria andina vigente los bienes gravados a la tarifa del </w:t>
            </w:r>
            <w:r w:rsidRPr="00480CBA">
              <w:rPr>
                <w:rFonts w:ascii="Cambria" w:hAnsi="Cambria"/>
                <w:sz w:val="20"/>
                <w:szCs w:val="20"/>
                <w:highlight w:val="yellow"/>
              </w:rPr>
              <w:t>dieciséis</w:t>
            </w:r>
            <w:r w:rsidRPr="00787265">
              <w:rPr>
                <w:rFonts w:ascii="Cambria" w:hAnsi="Cambria"/>
                <w:sz w:val="20"/>
                <w:szCs w:val="20"/>
              </w:rPr>
              <w:t xml:space="preserve"> por ciento (</w:t>
            </w:r>
            <w:r w:rsidRPr="00480CBA">
              <w:rPr>
                <w:rFonts w:ascii="Cambria" w:hAnsi="Cambria"/>
                <w:sz w:val="20"/>
                <w:szCs w:val="20"/>
                <w:highlight w:val="yellow"/>
              </w:rPr>
              <w:t>1</w:t>
            </w:r>
            <w:r w:rsidR="00480CBA">
              <w:rPr>
                <w:rFonts w:ascii="Cambria" w:hAnsi="Cambria"/>
                <w:sz w:val="20"/>
                <w:szCs w:val="20"/>
                <w:highlight w:val="yellow"/>
              </w:rPr>
              <w:t>6</w:t>
            </w:r>
            <w:r w:rsidRPr="00480CBA">
              <w:rPr>
                <w:rFonts w:ascii="Cambria" w:hAnsi="Cambria"/>
                <w:sz w:val="20"/>
                <w:szCs w:val="20"/>
                <w:highlight w:val="yellow"/>
              </w:rPr>
              <w:t>%)</w:t>
            </w:r>
            <w:r w:rsidRPr="00787265">
              <w:rPr>
                <w:rFonts w:ascii="Cambria" w:hAnsi="Cambria"/>
                <w:sz w:val="20"/>
                <w:szCs w:val="20"/>
              </w:rPr>
              <w:t xml:space="preserve"> son:</w:t>
            </w:r>
          </w:p>
          <w:p w:rsidR="00924576" w:rsidRPr="00787265" w:rsidRDefault="00924576" w:rsidP="00924576">
            <w:pPr>
              <w:jc w:val="both"/>
              <w:rPr>
                <w:rFonts w:ascii="Cambria" w:hAnsi="Cambria"/>
                <w:sz w:val="20"/>
                <w:szCs w:val="20"/>
              </w:rPr>
            </w:pPr>
          </w:p>
          <w:tbl>
            <w:tblPr>
              <w:tblW w:w="5050" w:type="pct"/>
              <w:tblCellSpacing w:w="15" w:type="dxa"/>
              <w:tblCellMar>
                <w:top w:w="15" w:type="dxa"/>
                <w:left w:w="15" w:type="dxa"/>
                <w:bottom w:w="15" w:type="dxa"/>
                <w:right w:w="15" w:type="dxa"/>
              </w:tblCellMar>
              <w:tblLook w:val="04A0" w:firstRow="1" w:lastRow="0" w:firstColumn="1" w:lastColumn="0" w:noHBand="0" w:noVBand="1"/>
            </w:tblPr>
            <w:tblGrid>
              <w:gridCol w:w="539"/>
              <w:gridCol w:w="4250"/>
            </w:tblGrid>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87.03</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Los vehículos automóviles de tipo familiar, los camperos y las pick-up, cuyo Valor FOB o el equivalente del valor FOB, sea igual o superior a USD $30.000, con sus accesorios.</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87.04</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Pick-up cuyo valor FOB o el equivalente del valor FOB, sea igual o superior a USD $30.000, con sus accesorios.</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88.01</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Globos y dirigibles; planeadores, alas planeadoras y demás aeronaves, no propulsados con motor de uso privado.</w:t>
                  </w:r>
                </w:p>
              </w:tc>
            </w:tr>
            <w:tr w:rsidR="00924576" w:rsidRPr="00787265" w:rsidTr="00787265">
              <w:trPr>
                <w:tblCellSpacing w:w="15" w:type="dxa"/>
              </w:trPr>
              <w:tc>
                <w:tcPr>
                  <w:tcW w:w="4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88.02</w:t>
                  </w:r>
                </w:p>
              </w:tc>
              <w:tc>
                <w:tcPr>
                  <w:tcW w:w="4600"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Las demás aeronaves (por ejemplo: helicópteros, aviones); vehículos espaciales (incluidos los satélites) y sus vehículos de lanzamiento y vehículos suborbitales, de uso privado.</w:t>
                  </w:r>
                </w:p>
              </w:tc>
            </w:tr>
          </w:tbl>
          <w:p w:rsidR="00480CBA" w:rsidRDefault="00480CBA" w:rsidP="00924576">
            <w:pPr>
              <w:jc w:val="both"/>
              <w:rPr>
                <w:rStyle w:val="baj"/>
                <w:rFonts w:ascii="Cambria" w:hAnsi="Cambria"/>
                <w:b/>
                <w:bCs/>
                <w:color w:val="343536"/>
                <w:spacing w:val="2"/>
                <w:sz w:val="20"/>
                <w:szCs w:val="20"/>
              </w:rPr>
            </w:pPr>
          </w:p>
          <w:p w:rsidR="00480CBA" w:rsidRDefault="00480CBA" w:rsidP="00924576">
            <w:pPr>
              <w:jc w:val="both"/>
              <w:rPr>
                <w:rStyle w:val="baj"/>
                <w:b/>
                <w:bCs/>
              </w:rPr>
            </w:pPr>
          </w:p>
          <w:p w:rsidR="00480CBA" w:rsidRDefault="00480CBA" w:rsidP="00924576">
            <w:pPr>
              <w:jc w:val="both"/>
              <w:rPr>
                <w:rStyle w:val="baj"/>
                <w:b/>
                <w:bCs/>
              </w:rPr>
            </w:pPr>
          </w:p>
          <w:p w:rsidR="00480CBA" w:rsidRDefault="00480CBA" w:rsidP="00924576">
            <w:pPr>
              <w:jc w:val="both"/>
              <w:rPr>
                <w:rStyle w:val="baj"/>
                <w:b/>
                <w:bCs/>
              </w:rPr>
            </w:pPr>
          </w:p>
          <w:p w:rsidR="00480CBA" w:rsidRDefault="00480CBA" w:rsidP="00924576">
            <w:pPr>
              <w:jc w:val="both"/>
              <w:rPr>
                <w:rStyle w:val="baj"/>
                <w:b/>
                <w:bCs/>
              </w:rPr>
            </w:pPr>
          </w:p>
          <w:p w:rsidR="00480CBA" w:rsidRDefault="00480CBA" w:rsidP="00924576">
            <w:pPr>
              <w:jc w:val="both"/>
              <w:rPr>
                <w:rStyle w:val="baj"/>
                <w:b/>
                <w:bCs/>
              </w:rPr>
            </w:pPr>
          </w:p>
          <w:p w:rsidR="00D17C41" w:rsidRDefault="00D17C41" w:rsidP="00924576">
            <w:pPr>
              <w:jc w:val="both"/>
              <w:rPr>
                <w:rStyle w:val="baj"/>
              </w:rPr>
            </w:pPr>
          </w:p>
          <w:p w:rsidR="00D17C41" w:rsidRDefault="00D17C41" w:rsidP="00924576">
            <w:pPr>
              <w:jc w:val="both"/>
              <w:rPr>
                <w:rStyle w:val="baj"/>
                <w:b/>
                <w:bCs/>
              </w:rPr>
            </w:pPr>
          </w:p>
          <w:p w:rsidR="00480CBA" w:rsidRDefault="00480CBA" w:rsidP="00924576">
            <w:pPr>
              <w:jc w:val="both"/>
              <w:rPr>
                <w:rStyle w:val="baj"/>
                <w:b/>
                <w:bCs/>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xml:space="preserve"> Para efectos de lo dispuesto en el presente artículo se entiende como Pick-Up aquel vehículo automotor de cuatro ruedas clasificado en la partida 87.04 del arancel de aduanas, de peso total con carga máxima (Peso Bruto Vehicular) igual o inferior a diez mil (10.000) libras americanas, destinado principalmente para el transporte de mercancías, cuya caja, platón, furgón, estacas u otros receptáculos destinados a portar la carga, una vez instalados, quedan fijados a un chasis o bastidor independiente y están </w:t>
            </w:r>
            <w:r w:rsidRPr="00787265">
              <w:rPr>
                <w:rFonts w:ascii="Cambria" w:hAnsi="Cambria"/>
                <w:sz w:val="20"/>
                <w:szCs w:val="20"/>
              </w:rPr>
              <w:lastRenderedPageBreak/>
              <w:t>separados de una cabina cerrada, que puede ser sencilla, semidoble o doble para el conductor y los pasajeros.</w:t>
            </w:r>
          </w:p>
          <w:p w:rsidR="00924576" w:rsidRDefault="00924576" w:rsidP="00924576">
            <w:pPr>
              <w:jc w:val="both"/>
              <w:rPr>
                <w:rStyle w:val="baj"/>
                <w:rFonts w:ascii="Cambria" w:hAnsi="Cambria"/>
                <w:b/>
                <w:bCs/>
                <w:color w:val="343536"/>
                <w:spacing w:val="2"/>
                <w:sz w:val="20"/>
                <w:szCs w:val="20"/>
              </w:rPr>
            </w:pPr>
          </w:p>
          <w:p w:rsidR="00480CBA" w:rsidRDefault="00480CBA"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Para efectos de la aplicación de las tarifas del impuesto nacional al consumo aquí referidas, el valor equivalente al valor FOB para los vehículos automóviles y camperos ensamblados o producidos en Colombia, será el valor FOB promedio consignado en las Declaraciones de Exportación de los vehículos de la misma marca, modelo y especificaciones, exportados durante el semestre calendario inmediatamente anterior al de la venta.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La base del impuesto en la venta de vehículos automotores al consumidor final o a la importación por este, será el valor total del bien, incluidos todos los accesorios de fábrica que hagan parte del valor total pagado por el adquirente, sin incluir el impuesto a las ventas.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4o.</w:t>
            </w:r>
            <w:r w:rsidRPr="00787265">
              <w:rPr>
                <w:rFonts w:ascii="Cambria" w:hAnsi="Cambria"/>
                <w:sz w:val="20"/>
                <w:szCs w:val="20"/>
              </w:rPr>
              <w:t> En el caso de la venta de vehículos y aerodinos usados adquiridos de propietarios para quienes los mismos constituían activos fijos, la base gravable estará conformada por la diferencia entre el valor total de la operación, determinado de acuerdo con lo previsto en el parágrafo 3 del presente artículo, y el precio de compra.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5o.</w:t>
            </w:r>
            <w:r w:rsidRPr="00787265">
              <w:rPr>
                <w:rFonts w:ascii="Cambria" w:hAnsi="Cambria"/>
                <w:sz w:val="20"/>
                <w:szCs w:val="20"/>
              </w:rPr>
              <w:t> El impuesto nacional al consumo no se aplicará a los vehículos usados que tengan más de cuatro (4) años contados desde la venta inicial al consumidor final o la importación por este.</w:t>
            </w:r>
          </w:p>
          <w:p w:rsidR="00924576" w:rsidRPr="00787265" w:rsidRDefault="00924576" w:rsidP="00924576">
            <w:pPr>
              <w:jc w:val="both"/>
              <w:rPr>
                <w:rFonts w:ascii="Cambria" w:hAnsi="Cambria"/>
                <w:b/>
                <w:bCs/>
                <w:color w:val="000000" w:themeColor="text1"/>
                <w:sz w:val="20"/>
                <w:szCs w:val="20"/>
              </w:rPr>
            </w:pPr>
          </w:p>
        </w:tc>
        <w:tc>
          <w:tcPr>
            <w:tcW w:w="4865" w:type="dxa"/>
          </w:tcPr>
          <w:p w:rsidR="00924576" w:rsidRDefault="00924576" w:rsidP="00924576">
            <w:pPr>
              <w:jc w:val="both"/>
              <w:rPr>
                <w:rFonts w:ascii="Cambria" w:hAnsi="Cambria"/>
                <w:sz w:val="20"/>
                <w:szCs w:val="20"/>
              </w:rPr>
            </w:pPr>
            <w:r w:rsidRPr="00924576">
              <w:rPr>
                <w:rFonts w:ascii="Cambria" w:hAnsi="Cambria"/>
                <w:b/>
                <w:bCs/>
                <w:color w:val="000000" w:themeColor="text1"/>
                <w:sz w:val="20"/>
                <w:szCs w:val="20"/>
              </w:rPr>
              <w:lastRenderedPageBreak/>
              <w:t xml:space="preserve">Artículo 512-4. Bienes gravados a la tarifa del </w:t>
            </w:r>
            <w:r w:rsidRPr="00480CBA">
              <w:rPr>
                <w:rFonts w:ascii="Cambria" w:hAnsi="Cambria"/>
                <w:b/>
                <w:bCs/>
                <w:color w:val="000000" w:themeColor="text1"/>
                <w:sz w:val="20"/>
                <w:szCs w:val="20"/>
                <w:highlight w:val="yellow"/>
              </w:rPr>
              <w:t>1</w:t>
            </w:r>
            <w:r w:rsidR="00480CBA" w:rsidRPr="00480CBA">
              <w:rPr>
                <w:rFonts w:ascii="Cambria" w:hAnsi="Cambria"/>
                <w:b/>
                <w:bCs/>
                <w:color w:val="000000" w:themeColor="text1"/>
                <w:sz w:val="20"/>
                <w:szCs w:val="20"/>
                <w:highlight w:val="yellow"/>
              </w:rPr>
              <w:t>9</w:t>
            </w:r>
            <w:r w:rsidRPr="00480CBA">
              <w:rPr>
                <w:rFonts w:ascii="Cambria" w:hAnsi="Cambria"/>
                <w:b/>
                <w:bCs/>
                <w:color w:val="000000" w:themeColor="text1"/>
                <w:sz w:val="20"/>
                <w:szCs w:val="20"/>
                <w:highlight w:val="yellow"/>
              </w:rPr>
              <w:t>%.</w:t>
            </w:r>
            <w:r w:rsidRPr="00924576">
              <w:rPr>
                <w:rFonts w:ascii="Cambria" w:hAnsi="Cambria"/>
                <w:color w:val="000000" w:themeColor="text1"/>
                <w:sz w:val="20"/>
                <w:szCs w:val="20"/>
              </w:rPr>
              <w:t> </w:t>
            </w:r>
            <w:r w:rsidR="00D17C41" w:rsidRPr="00D17C41">
              <w:rPr>
                <w:rFonts w:ascii="Cambria" w:hAnsi="Cambria"/>
                <w:b/>
                <w:bCs/>
                <w:color w:val="FF0000"/>
                <w:sz w:val="20"/>
                <w:szCs w:val="20"/>
              </w:rPr>
              <w:t>(modificado con artículo 2</w:t>
            </w:r>
            <w:r w:rsidR="00D17C41">
              <w:rPr>
                <w:rFonts w:ascii="Cambria" w:hAnsi="Cambria"/>
                <w:b/>
                <w:bCs/>
                <w:color w:val="FF0000"/>
                <w:sz w:val="20"/>
                <w:szCs w:val="20"/>
              </w:rPr>
              <w:t>7</w:t>
            </w:r>
            <w:r w:rsidR="00D17C41" w:rsidRPr="00D17C41">
              <w:rPr>
                <w:rFonts w:ascii="Cambria" w:hAnsi="Cambria"/>
                <w:b/>
                <w:bCs/>
                <w:color w:val="FF0000"/>
                <w:sz w:val="20"/>
                <w:szCs w:val="20"/>
              </w:rPr>
              <w:t xml:space="preserve"> del proyecto de </w:t>
            </w:r>
            <w:r w:rsidR="00FB60A2">
              <w:rPr>
                <w:rFonts w:ascii="Cambria" w:hAnsi="Cambria"/>
                <w:b/>
                <w:bCs/>
                <w:color w:val="FF0000"/>
                <w:sz w:val="20"/>
                <w:szCs w:val="20"/>
              </w:rPr>
              <w:t>Ley de septiembre de 2025</w:t>
            </w:r>
            <w:r w:rsidR="00D17C41" w:rsidRPr="00D17C41">
              <w:rPr>
                <w:rFonts w:ascii="Cambria" w:hAnsi="Cambria"/>
                <w:b/>
                <w:bCs/>
                <w:color w:val="FF0000"/>
                <w:sz w:val="20"/>
                <w:szCs w:val="20"/>
              </w:rPr>
              <w:t>).</w:t>
            </w:r>
            <w:r w:rsidR="00D17C41" w:rsidRPr="00D17C41">
              <w:rPr>
                <w:rFonts w:ascii="Cambria" w:hAnsi="Cambria"/>
                <w:color w:val="FF0000"/>
                <w:sz w:val="20"/>
                <w:szCs w:val="20"/>
              </w:rPr>
              <w:t xml:space="preserve">  </w:t>
            </w:r>
            <w:r w:rsidRPr="00787265">
              <w:rPr>
                <w:rFonts w:ascii="Cambria" w:hAnsi="Cambria"/>
                <w:sz w:val="20"/>
                <w:szCs w:val="20"/>
              </w:rPr>
              <w:t xml:space="preserve">De acuerdo con la nomenclatura arancelaria andina vigente los bienes gravados a la tarifa del </w:t>
            </w:r>
            <w:r w:rsidRPr="00480CBA">
              <w:rPr>
                <w:rFonts w:ascii="Cambria" w:hAnsi="Cambria"/>
                <w:sz w:val="20"/>
                <w:szCs w:val="20"/>
                <w:highlight w:val="yellow"/>
              </w:rPr>
              <w:t>dieci</w:t>
            </w:r>
            <w:r w:rsidR="00480CBA" w:rsidRPr="00480CBA">
              <w:rPr>
                <w:rFonts w:ascii="Cambria" w:hAnsi="Cambria"/>
                <w:sz w:val="20"/>
                <w:szCs w:val="20"/>
                <w:highlight w:val="yellow"/>
              </w:rPr>
              <w:t>nueve</w:t>
            </w:r>
            <w:r w:rsidRPr="00787265">
              <w:rPr>
                <w:rFonts w:ascii="Cambria" w:hAnsi="Cambria"/>
                <w:sz w:val="20"/>
                <w:szCs w:val="20"/>
              </w:rPr>
              <w:t xml:space="preserve"> por ciento (</w:t>
            </w:r>
            <w:r w:rsidRPr="00480CBA">
              <w:rPr>
                <w:rFonts w:ascii="Cambria" w:hAnsi="Cambria"/>
                <w:sz w:val="20"/>
                <w:szCs w:val="20"/>
                <w:highlight w:val="yellow"/>
              </w:rPr>
              <w:t>1</w:t>
            </w:r>
            <w:r w:rsidR="00480CBA" w:rsidRPr="00480CBA">
              <w:rPr>
                <w:rFonts w:ascii="Cambria" w:hAnsi="Cambria"/>
                <w:sz w:val="20"/>
                <w:szCs w:val="20"/>
                <w:highlight w:val="yellow"/>
              </w:rPr>
              <w:t>9</w:t>
            </w:r>
            <w:r w:rsidRPr="00480CBA">
              <w:rPr>
                <w:rFonts w:ascii="Cambria" w:hAnsi="Cambria"/>
                <w:sz w:val="20"/>
                <w:szCs w:val="20"/>
                <w:highlight w:val="yellow"/>
              </w:rPr>
              <w:t>%)</w:t>
            </w:r>
            <w:r w:rsidRPr="00787265">
              <w:rPr>
                <w:rFonts w:ascii="Cambria" w:hAnsi="Cambria"/>
                <w:sz w:val="20"/>
                <w:szCs w:val="20"/>
              </w:rPr>
              <w:t xml:space="preserve"> </w:t>
            </w:r>
          </w:p>
          <w:p w:rsidR="00480CBA" w:rsidRPr="00787265" w:rsidRDefault="00480CBA" w:rsidP="00924576">
            <w:pPr>
              <w:jc w:val="both"/>
              <w:rPr>
                <w:rFonts w:ascii="Cambria" w:hAnsi="Cambria"/>
                <w:sz w:val="20"/>
                <w:szCs w:val="20"/>
              </w:rPr>
            </w:pPr>
          </w:p>
          <w:tbl>
            <w:tblPr>
              <w:tblW w:w="4649" w:type="dxa"/>
              <w:tblCellSpacing w:w="15" w:type="dxa"/>
              <w:tblCellMar>
                <w:top w:w="15" w:type="dxa"/>
                <w:left w:w="15" w:type="dxa"/>
                <w:bottom w:w="15" w:type="dxa"/>
                <w:right w:w="15" w:type="dxa"/>
              </w:tblCellMar>
              <w:tblLook w:val="04A0" w:firstRow="1" w:lastRow="0" w:firstColumn="1" w:lastColumn="0" w:noHBand="0" w:noVBand="1"/>
            </w:tblPr>
            <w:tblGrid>
              <w:gridCol w:w="539"/>
              <w:gridCol w:w="4110"/>
            </w:tblGrid>
            <w:tr w:rsidR="00924576" w:rsidRPr="00787265" w:rsidTr="00480CBA">
              <w:trPr>
                <w:tblCellSpacing w:w="15" w:type="dxa"/>
              </w:trPr>
              <w:tc>
                <w:tcPr>
                  <w:tcW w:w="531"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87.03</w:t>
                  </w:r>
                </w:p>
              </w:tc>
              <w:tc>
                <w:tcPr>
                  <w:tcW w:w="4372"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Los vehículos automóviles de tipo familiar, los camperos y las pick-up, cuyo Valor FOB o el equivalente del valor FOB, sea igual o superior a USD $30.000, con sus accesorios.</w:t>
                  </w:r>
                </w:p>
              </w:tc>
            </w:tr>
            <w:tr w:rsidR="00924576" w:rsidRPr="00787265" w:rsidTr="00480CBA">
              <w:trPr>
                <w:tblCellSpacing w:w="15" w:type="dxa"/>
              </w:trPr>
              <w:tc>
                <w:tcPr>
                  <w:tcW w:w="531"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87.04</w:t>
                  </w:r>
                </w:p>
              </w:tc>
              <w:tc>
                <w:tcPr>
                  <w:tcW w:w="4372"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Pick-up cuyo valor FOB o el equivalente del valor FOB, sea igual o superior a USD $30.000, con sus accesorios.</w:t>
                  </w:r>
                </w:p>
              </w:tc>
            </w:tr>
            <w:tr w:rsidR="00924576" w:rsidRPr="00787265" w:rsidTr="00480CBA">
              <w:trPr>
                <w:tblCellSpacing w:w="15" w:type="dxa"/>
              </w:trPr>
              <w:tc>
                <w:tcPr>
                  <w:tcW w:w="531"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88.01</w:t>
                  </w:r>
                </w:p>
              </w:tc>
              <w:tc>
                <w:tcPr>
                  <w:tcW w:w="4372"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Globos y dirigibles; planeadores, alas planeadoras y demás aeronaves, no propulsados con motor de uso privado.</w:t>
                  </w:r>
                </w:p>
              </w:tc>
            </w:tr>
            <w:tr w:rsidR="00924576" w:rsidRPr="00787265" w:rsidTr="00480CBA">
              <w:trPr>
                <w:tblCellSpacing w:w="15" w:type="dxa"/>
              </w:trPr>
              <w:tc>
                <w:tcPr>
                  <w:tcW w:w="531" w:type="pct"/>
                  <w:tcBorders>
                    <w:top w:val="nil"/>
                    <w:left w:val="nil"/>
                    <w:bottom w:val="nil"/>
                    <w:right w:val="nil"/>
                  </w:tcBorders>
                  <w:tcMar>
                    <w:top w:w="0" w:type="dxa"/>
                    <w:left w:w="0" w:type="dxa"/>
                    <w:bottom w:w="0" w:type="dxa"/>
                    <w:right w:w="0" w:type="dxa"/>
                  </w:tcMar>
                  <w:hideMark/>
                </w:tcPr>
                <w:p w:rsidR="00924576" w:rsidRPr="00787265" w:rsidRDefault="00924576" w:rsidP="00924576">
                  <w:pPr>
                    <w:jc w:val="both"/>
                    <w:rPr>
                      <w:rFonts w:ascii="Cambria" w:hAnsi="Cambria"/>
                      <w:sz w:val="20"/>
                      <w:szCs w:val="20"/>
                    </w:rPr>
                  </w:pPr>
                  <w:r w:rsidRPr="00787265">
                    <w:rPr>
                      <w:rStyle w:val="letra8pt"/>
                      <w:rFonts w:ascii="Cambria" w:hAnsi="Cambria"/>
                      <w:color w:val="343536"/>
                      <w:spacing w:val="2"/>
                      <w:sz w:val="20"/>
                      <w:szCs w:val="20"/>
                    </w:rPr>
                    <w:t>88.02</w:t>
                  </w:r>
                </w:p>
              </w:tc>
              <w:tc>
                <w:tcPr>
                  <w:tcW w:w="4372" w:type="pct"/>
                  <w:tcBorders>
                    <w:top w:val="nil"/>
                    <w:left w:val="nil"/>
                    <w:bottom w:val="nil"/>
                    <w:right w:val="nil"/>
                  </w:tcBorders>
                  <w:tcMar>
                    <w:top w:w="0" w:type="dxa"/>
                    <w:left w:w="0" w:type="dxa"/>
                    <w:bottom w:w="0" w:type="dxa"/>
                    <w:right w:w="0" w:type="dxa"/>
                  </w:tcMar>
                  <w:hideMark/>
                </w:tcPr>
                <w:p w:rsidR="00480CBA" w:rsidRDefault="00924576" w:rsidP="00924576">
                  <w:pPr>
                    <w:jc w:val="both"/>
                    <w:rPr>
                      <w:rStyle w:val="letra8pt"/>
                      <w:rFonts w:ascii="Cambria" w:hAnsi="Cambria"/>
                      <w:color w:val="343536"/>
                      <w:spacing w:val="2"/>
                      <w:sz w:val="20"/>
                      <w:szCs w:val="20"/>
                    </w:rPr>
                  </w:pPr>
                  <w:r w:rsidRPr="00787265">
                    <w:rPr>
                      <w:rStyle w:val="letra8pt"/>
                      <w:rFonts w:ascii="Cambria" w:hAnsi="Cambria"/>
                      <w:color w:val="343536"/>
                      <w:spacing w:val="2"/>
                      <w:sz w:val="20"/>
                      <w:szCs w:val="20"/>
                    </w:rPr>
                    <w:t>Las demás aeronaves (por ejemplo: helicópteros, aviones); vehículos espaciales (incluidos los satélites) y sus vehículos de lanzamiento y vehículos suborbitales, de uso privado.</w:t>
                  </w:r>
                </w:p>
                <w:p w:rsidR="00480CBA" w:rsidRDefault="00480CBA" w:rsidP="00924576">
                  <w:pPr>
                    <w:jc w:val="both"/>
                  </w:pPr>
                </w:p>
                <w:p w:rsidR="00480CBA" w:rsidRPr="00480CBA" w:rsidRDefault="00480CBA" w:rsidP="00924576">
                  <w:pPr>
                    <w:jc w:val="both"/>
                    <w:rPr>
                      <w:rFonts w:ascii="Cambria" w:hAnsi="Cambria"/>
                      <w:color w:val="343536"/>
                      <w:spacing w:val="2"/>
                      <w:sz w:val="20"/>
                      <w:szCs w:val="20"/>
                    </w:rPr>
                  </w:pPr>
                </w:p>
              </w:tc>
            </w:tr>
            <w:tr w:rsidR="00480CBA" w:rsidRPr="00787265" w:rsidTr="00480CBA">
              <w:trPr>
                <w:tblCellSpacing w:w="15" w:type="dxa"/>
              </w:trPr>
              <w:tc>
                <w:tcPr>
                  <w:tcW w:w="531" w:type="pct"/>
                  <w:tcBorders>
                    <w:top w:val="nil"/>
                    <w:left w:val="nil"/>
                    <w:bottom w:val="nil"/>
                    <w:right w:val="nil"/>
                  </w:tcBorders>
                  <w:tcMar>
                    <w:top w:w="0" w:type="dxa"/>
                    <w:left w:w="0" w:type="dxa"/>
                    <w:bottom w:w="0" w:type="dxa"/>
                    <w:right w:w="0" w:type="dxa"/>
                  </w:tcMar>
                </w:tcPr>
                <w:p w:rsidR="00480CBA" w:rsidRPr="009906F2" w:rsidRDefault="00480CBA" w:rsidP="00480CBA">
                  <w:pPr>
                    <w:jc w:val="both"/>
                    <w:rPr>
                      <w:rFonts w:ascii="Cambria" w:hAnsi="Cambria"/>
                      <w:sz w:val="20"/>
                      <w:szCs w:val="20"/>
                      <w:highlight w:val="yellow"/>
                    </w:rPr>
                  </w:pPr>
                  <w:r w:rsidRPr="009906F2">
                    <w:rPr>
                      <w:rFonts w:ascii="Cambria" w:hAnsi="Cambria"/>
                      <w:sz w:val="20"/>
                      <w:szCs w:val="20"/>
                      <w:highlight w:val="yellow"/>
                    </w:rPr>
                    <w:t>87.11</w:t>
                  </w:r>
                </w:p>
              </w:tc>
              <w:tc>
                <w:tcPr>
                  <w:tcW w:w="4372" w:type="pct"/>
                  <w:tcBorders>
                    <w:top w:val="nil"/>
                    <w:left w:val="nil"/>
                    <w:bottom w:val="nil"/>
                    <w:right w:val="nil"/>
                  </w:tcBorders>
                  <w:tcMar>
                    <w:top w:w="0" w:type="dxa"/>
                    <w:left w:w="0" w:type="dxa"/>
                    <w:bottom w:w="0" w:type="dxa"/>
                    <w:right w:w="0" w:type="dxa"/>
                  </w:tcMar>
                </w:tcPr>
                <w:p w:rsidR="00480CBA" w:rsidRPr="009906F2" w:rsidRDefault="00480CBA" w:rsidP="00480CBA">
                  <w:pPr>
                    <w:jc w:val="both"/>
                    <w:rPr>
                      <w:rFonts w:ascii="Cambria" w:hAnsi="Cambria"/>
                      <w:sz w:val="20"/>
                      <w:szCs w:val="20"/>
                      <w:highlight w:val="yellow"/>
                    </w:rPr>
                  </w:pPr>
                  <w:r w:rsidRPr="009906F2">
                    <w:rPr>
                      <w:rFonts w:ascii="Cambria" w:hAnsi="Cambria"/>
                      <w:sz w:val="20"/>
                      <w:szCs w:val="20"/>
                      <w:highlight w:val="yellow"/>
                    </w:rPr>
                    <w:t>Motocicletas con motor de émbolo (pistón) alternativo de cilindrada superior a 200 c.c.</w:t>
                  </w:r>
                </w:p>
              </w:tc>
            </w:tr>
            <w:tr w:rsidR="00480CBA" w:rsidRPr="00787265" w:rsidTr="00480CBA">
              <w:trPr>
                <w:tblCellSpacing w:w="15" w:type="dxa"/>
              </w:trPr>
              <w:tc>
                <w:tcPr>
                  <w:tcW w:w="531" w:type="pct"/>
                  <w:tcBorders>
                    <w:top w:val="nil"/>
                    <w:left w:val="nil"/>
                    <w:bottom w:val="nil"/>
                    <w:right w:val="nil"/>
                  </w:tcBorders>
                  <w:tcMar>
                    <w:top w:w="0" w:type="dxa"/>
                    <w:left w:w="0" w:type="dxa"/>
                    <w:bottom w:w="0" w:type="dxa"/>
                    <w:right w:w="0" w:type="dxa"/>
                  </w:tcMar>
                </w:tcPr>
                <w:p w:rsidR="00480CBA" w:rsidRPr="009906F2" w:rsidRDefault="00480CBA" w:rsidP="00480CBA">
                  <w:pPr>
                    <w:jc w:val="both"/>
                    <w:rPr>
                      <w:rFonts w:ascii="Cambria" w:hAnsi="Cambria"/>
                      <w:sz w:val="20"/>
                      <w:szCs w:val="20"/>
                      <w:highlight w:val="yellow"/>
                    </w:rPr>
                  </w:pPr>
                  <w:r w:rsidRPr="009906F2">
                    <w:rPr>
                      <w:rFonts w:ascii="Cambria" w:hAnsi="Cambria"/>
                      <w:sz w:val="20"/>
                      <w:szCs w:val="20"/>
                      <w:highlight w:val="yellow"/>
                    </w:rPr>
                    <w:t>89.03</w:t>
                  </w:r>
                </w:p>
              </w:tc>
              <w:tc>
                <w:tcPr>
                  <w:tcW w:w="4372" w:type="pct"/>
                  <w:tcBorders>
                    <w:top w:val="nil"/>
                    <w:left w:val="nil"/>
                    <w:bottom w:val="nil"/>
                    <w:right w:val="nil"/>
                  </w:tcBorders>
                  <w:tcMar>
                    <w:top w:w="0" w:type="dxa"/>
                    <w:left w:w="0" w:type="dxa"/>
                    <w:bottom w:w="0" w:type="dxa"/>
                    <w:right w:w="0" w:type="dxa"/>
                  </w:tcMar>
                </w:tcPr>
                <w:p w:rsidR="00480CBA" w:rsidRPr="009906F2" w:rsidRDefault="00480CBA" w:rsidP="00480CBA">
                  <w:pPr>
                    <w:jc w:val="both"/>
                    <w:rPr>
                      <w:rFonts w:ascii="Cambria" w:hAnsi="Cambria"/>
                      <w:sz w:val="20"/>
                      <w:szCs w:val="20"/>
                      <w:highlight w:val="yellow"/>
                    </w:rPr>
                  </w:pPr>
                  <w:r w:rsidRPr="009906F2">
                    <w:rPr>
                      <w:rFonts w:ascii="Cambria" w:hAnsi="Cambria"/>
                      <w:sz w:val="20"/>
                      <w:szCs w:val="20"/>
                      <w:highlight w:val="yellow"/>
                    </w:rPr>
                    <w:t>Yates y demás barcos y embarcaciones de recreo o deporte; barcas (botes) de remo y canoas.</w:t>
                  </w:r>
                </w:p>
              </w:tc>
            </w:tr>
          </w:tbl>
          <w:p w:rsidR="00480CBA" w:rsidRDefault="00480CBA"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1o.</w:t>
            </w:r>
            <w:r w:rsidRPr="00787265">
              <w:rPr>
                <w:rFonts w:ascii="Cambria" w:hAnsi="Cambria"/>
                <w:sz w:val="20"/>
                <w:szCs w:val="20"/>
              </w:rPr>
              <w:t xml:space="preserve"> Para efectos de lo dispuesto en el presente artículo se entiende como Pick-Up aquel vehículo automotor de cuatro ruedas clasificado en la partida 87.04 del arancel de aduanas, de peso total con carga máxima (Peso Bruto Vehicular) igual o inferior a diez mil (10.000) libras americanas, destinado principalmente para el transporte de mercancías, cuya caja, platón, furgón, estacas u otros receptáculos destinados a portar la carga, una vez instalados, quedan fijados a un chasis o bastidor independiente y están separados de una cabina cerrada, que puede ser </w:t>
            </w:r>
            <w:r w:rsidRPr="00787265">
              <w:rPr>
                <w:rFonts w:ascii="Cambria" w:hAnsi="Cambria"/>
                <w:sz w:val="20"/>
                <w:szCs w:val="20"/>
              </w:rPr>
              <w:lastRenderedPageBreak/>
              <w:t>sencilla, semidoble o doble para el conductor y los pasajeros.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2o.</w:t>
            </w:r>
            <w:r w:rsidRPr="00787265">
              <w:rPr>
                <w:rFonts w:ascii="Cambria" w:hAnsi="Cambria"/>
                <w:sz w:val="20"/>
                <w:szCs w:val="20"/>
              </w:rPr>
              <w:t> Para efectos de la aplicación de las tarifas del impuesto nacional al consumo aquí referidas, el valor equivalente al valor FOB para los vehículos automóviles y camperos ensamblados o producidos en Colombia, será el valor FOB promedio consignado en las Declaraciones de Exportación de los vehículos de la misma marca, modelo y especificaciones, exportados durante el semestre calendario inmediatamente anterior al de la venta.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3o.</w:t>
            </w:r>
            <w:r w:rsidRPr="00787265">
              <w:rPr>
                <w:rFonts w:ascii="Cambria" w:hAnsi="Cambria"/>
                <w:sz w:val="20"/>
                <w:szCs w:val="20"/>
              </w:rPr>
              <w:t> La base del impuesto en la venta de vehículos automotores al consumidor final o a la importación por este, será el valor total del bien, incluidos todos los accesorios de fábrica que hagan parte del valor total pagado por el adquirente, sin incluir el impuesto a las ventas.</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4o.</w:t>
            </w:r>
            <w:r w:rsidRPr="00787265">
              <w:rPr>
                <w:rFonts w:ascii="Cambria" w:hAnsi="Cambria"/>
                <w:sz w:val="20"/>
                <w:szCs w:val="20"/>
              </w:rPr>
              <w:t> En el caso de la venta de vehículos y aerodinos usados adquiridos de propietarios para quienes los mismos constituían activos fijos, la base gravable estará conformada por la diferencia entre el valor total de la operación, determinado de acuerdo con lo previsto en el parágrafo 3 del presente artículo, y el precio de compra.</w:t>
            </w:r>
          </w:p>
          <w:p w:rsidR="00924576" w:rsidRDefault="00924576" w:rsidP="00924576">
            <w:pPr>
              <w:jc w:val="both"/>
              <w:rPr>
                <w:rStyle w:val="baj"/>
                <w:rFonts w:ascii="Cambria" w:hAnsi="Cambria"/>
                <w:b/>
                <w:bCs/>
                <w:color w:val="343536"/>
                <w:spacing w:val="2"/>
                <w:sz w:val="20"/>
                <w:szCs w:val="20"/>
              </w:rPr>
            </w:pPr>
          </w:p>
          <w:p w:rsidR="00924576" w:rsidRPr="00787265" w:rsidRDefault="00924576" w:rsidP="00924576">
            <w:pPr>
              <w:jc w:val="both"/>
              <w:rPr>
                <w:rFonts w:ascii="Cambria" w:hAnsi="Cambria"/>
                <w:sz w:val="20"/>
                <w:szCs w:val="20"/>
              </w:rPr>
            </w:pPr>
            <w:r w:rsidRPr="00787265">
              <w:rPr>
                <w:rStyle w:val="baj"/>
                <w:rFonts w:ascii="Cambria" w:hAnsi="Cambria"/>
                <w:b/>
                <w:bCs/>
                <w:color w:val="343536"/>
                <w:spacing w:val="2"/>
                <w:sz w:val="20"/>
                <w:szCs w:val="20"/>
              </w:rPr>
              <w:t>PARÁGRAFO 5o.</w:t>
            </w:r>
            <w:r w:rsidRPr="00787265">
              <w:rPr>
                <w:rFonts w:ascii="Cambria" w:hAnsi="Cambria"/>
                <w:sz w:val="20"/>
                <w:szCs w:val="20"/>
              </w:rPr>
              <w:t> El impuesto nacional al consumo no se aplicará a los vehículos usados que tengan más de cuatro (4) años contados desde la venta inicial al consumidor final o la importación por este.</w:t>
            </w:r>
          </w:p>
          <w:p w:rsidR="00924576" w:rsidRPr="00787265" w:rsidRDefault="00924576" w:rsidP="00924576">
            <w:pPr>
              <w:jc w:val="both"/>
              <w:rPr>
                <w:rFonts w:ascii="Cambria" w:hAnsi="Cambria"/>
                <w:b/>
                <w:bCs/>
                <w:color w:val="000000" w:themeColor="text1"/>
                <w:sz w:val="20"/>
                <w:szCs w:val="20"/>
              </w:rPr>
            </w:pPr>
          </w:p>
        </w:tc>
      </w:tr>
      <w:tr w:rsidR="00924576" w:rsidTr="0059378C">
        <w:tc>
          <w:tcPr>
            <w:tcW w:w="4958" w:type="dxa"/>
          </w:tcPr>
          <w:p w:rsidR="00924576" w:rsidRPr="00D951FC"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lastRenderedPageBreak/>
              <w:t xml:space="preserve">Artículo </w:t>
            </w:r>
            <w:r w:rsidR="00D951FC" w:rsidRPr="00D951FC">
              <w:rPr>
                <w:rFonts w:ascii="Cambria" w:hAnsi="Cambria"/>
                <w:b/>
                <w:bCs/>
                <w:color w:val="000000" w:themeColor="text1"/>
                <w:sz w:val="20"/>
                <w:szCs w:val="20"/>
              </w:rPr>
              <w:t>513-14 (No existía)</w:t>
            </w:r>
          </w:p>
        </w:tc>
        <w:tc>
          <w:tcPr>
            <w:tcW w:w="4865" w:type="dxa"/>
          </w:tcPr>
          <w:p w:rsidR="00924576" w:rsidRDefault="00D17C41" w:rsidP="00D17C41">
            <w:pPr>
              <w:jc w:val="both"/>
              <w:rPr>
                <w:rFonts w:ascii="Cambria" w:hAnsi="Cambria"/>
                <w:sz w:val="20"/>
                <w:szCs w:val="20"/>
                <w:highlight w:val="yellow"/>
              </w:rPr>
            </w:pPr>
            <w:r w:rsidRPr="00D17C41">
              <w:rPr>
                <w:rFonts w:ascii="Cambria" w:hAnsi="Cambria"/>
                <w:b/>
                <w:bCs/>
                <w:sz w:val="20"/>
                <w:szCs w:val="20"/>
                <w:highlight w:val="yellow"/>
              </w:rPr>
              <w:t>Artículo 513-14. Impuesto especial en la extracción de hidrocarburos y carbón</w:t>
            </w:r>
            <w:r>
              <w:rPr>
                <w:rFonts w:ascii="Cambria" w:hAnsi="Cambria"/>
                <w:b/>
                <w:bCs/>
                <w:sz w:val="20"/>
                <w:szCs w:val="20"/>
                <w:highlight w:val="yellow"/>
              </w:rPr>
              <w:t xml:space="preserve"> (</w:t>
            </w:r>
            <w:r w:rsidRPr="00D17C41">
              <w:rPr>
                <w:rFonts w:ascii="Cambria" w:hAnsi="Cambria"/>
                <w:b/>
                <w:bCs/>
                <w:color w:val="FF0000"/>
                <w:sz w:val="20"/>
                <w:szCs w:val="20"/>
                <w:highlight w:val="yellow"/>
              </w:rPr>
              <w:t xml:space="preserve">agregado con artículo 28 del proyecto de Ley </w:t>
            </w:r>
            <w:r w:rsidR="00852E78">
              <w:rPr>
                <w:rFonts w:ascii="Cambria" w:hAnsi="Cambria"/>
                <w:b/>
                <w:bCs/>
                <w:color w:val="FF0000"/>
                <w:sz w:val="20"/>
                <w:szCs w:val="20"/>
                <w:highlight w:val="yellow"/>
              </w:rPr>
              <w:t>septiembre</w:t>
            </w:r>
            <w:r w:rsidRPr="00D17C41">
              <w:rPr>
                <w:rFonts w:ascii="Cambria" w:hAnsi="Cambria"/>
                <w:b/>
                <w:bCs/>
                <w:color w:val="FF0000"/>
                <w:sz w:val="20"/>
                <w:szCs w:val="20"/>
                <w:highlight w:val="yellow"/>
              </w:rPr>
              <w:t xml:space="preserve"> de 2025). </w:t>
            </w:r>
            <w:r w:rsidRPr="00D17C41">
              <w:rPr>
                <w:rFonts w:ascii="Cambria" w:hAnsi="Cambria"/>
                <w:sz w:val="20"/>
                <w:szCs w:val="20"/>
                <w:highlight w:val="yellow"/>
              </w:rPr>
              <w:t xml:space="preserve">Crease el impuesto especial en la extracción de hidrocarburos y carbón que grava la extracción en el territorio nacional de hidrocarburos y carbón de las partidas arancelarias que se definen en el artículo 513-15 del presente Estatuto, al momento de la primera venta o la exportación </w:t>
            </w:r>
          </w:p>
          <w:p w:rsidR="00D17C41" w:rsidRPr="00D17C41" w:rsidRDefault="00D17C41" w:rsidP="00D17C41">
            <w:pPr>
              <w:jc w:val="both"/>
              <w:rPr>
                <w:rFonts w:ascii="Cambria" w:hAnsi="Cambria"/>
                <w:b/>
                <w:bCs/>
                <w:color w:val="000000" w:themeColor="text1"/>
                <w:sz w:val="20"/>
                <w:szCs w:val="20"/>
                <w:highlight w:val="yellow"/>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t xml:space="preserve">Artículo </w:t>
            </w:r>
            <w:r w:rsidR="00D951FC" w:rsidRPr="00D951FC">
              <w:rPr>
                <w:rFonts w:ascii="Cambria" w:hAnsi="Cambria"/>
                <w:b/>
                <w:bCs/>
                <w:color w:val="000000" w:themeColor="text1"/>
                <w:sz w:val="20"/>
                <w:szCs w:val="20"/>
              </w:rPr>
              <w:t>513-1</w:t>
            </w:r>
            <w:r w:rsidR="00D951FC">
              <w:rPr>
                <w:rFonts w:ascii="Cambria" w:hAnsi="Cambria"/>
                <w:b/>
                <w:bCs/>
                <w:color w:val="000000" w:themeColor="text1"/>
                <w:sz w:val="20"/>
                <w:szCs w:val="20"/>
              </w:rPr>
              <w:t>5</w:t>
            </w:r>
            <w:r w:rsidR="00D951FC" w:rsidRPr="00D951FC">
              <w:rPr>
                <w:rFonts w:ascii="Cambria" w:hAnsi="Cambria"/>
                <w:b/>
                <w:bCs/>
                <w:color w:val="000000" w:themeColor="text1"/>
                <w:sz w:val="20"/>
                <w:szCs w:val="20"/>
              </w:rPr>
              <w:t xml:space="preserve"> (No existía)</w:t>
            </w:r>
          </w:p>
        </w:tc>
        <w:tc>
          <w:tcPr>
            <w:tcW w:w="4865" w:type="dxa"/>
          </w:tcPr>
          <w:p w:rsidR="00D17C41" w:rsidRPr="00D17C41" w:rsidRDefault="00D17C41" w:rsidP="00D17C41">
            <w:pPr>
              <w:pStyle w:val="Default"/>
              <w:jc w:val="both"/>
              <w:rPr>
                <w:rFonts w:ascii="Cambria" w:hAnsi="Cambria"/>
                <w:sz w:val="20"/>
                <w:szCs w:val="20"/>
                <w:highlight w:val="yellow"/>
              </w:rPr>
            </w:pPr>
            <w:r w:rsidRPr="00D17C41">
              <w:rPr>
                <w:rFonts w:ascii="Cambria" w:hAnsi="Cambria"/>
                <w:b/>
                <w:bCs/>
                <w:sz w:val="20"/>
                <w:szCs w:val="20"/>
                <w:highlight w:val="yellow"/>
              </w:rPr>
              <w:t>Artículo 513-15</w:t>
            </w:r>
            <w:r w:rsidRPr="00D17C41">
              <w:rPr>
                <w:rFonts w:ascii="Cambria" w:hAnsi="Cambria"/>
                <w:sz w:val="20"/>
                <w:szCs w:val="20"/>
                <w:highlight w:val="yellow"/>
              </w:rPr>
              <w:t xml:space="preserve">. </w:t>
            </w:r>
            <w:r w:rsidRPr="00D17C41">
              <w:rPr>
                <w:rFonts w:ascii="Cambria" w:hAnsi="Cambria"/>
                <w:b/>
                <w:bCs/>
                <w:sz w:val="20"/>
                <w:szCs w:val="20"/>
                <w:highlight w:val="yellow"/>
              </w:rPr>
              <w:t xml:space="preserve">Hecho generador y causación </w:t>
            </w:r>
            <w:r w:rsidRPr="00D17C41">
              <w:rPr>
                <w:rFonts w:ascii="Cambria" w:hAnsi="Cambria"/>
                <w:b/>
                <w:bCs/>
                <w:color w:val="FF0000"/>
                <w:sz w:val="20"/>
                <w:szCs w:val="20"/>
                <w:highlight w:val="yellow"/>
              </w:rPr>
              <w:t xml:space="preserve">agregado con artículo 28 del proyecto de Ley </w:t>
            </w:r>
            <w:r w:rsidR="00852E78">
              <w:rPr>
                <w:rFonts w:ascii="Cambria" w:hAnsi="Cambria"/>
                <w:b/>
                <w:bCs/>
                <w:color w:val="FF0000"/>
                <w:sz w:val="20"/>
                <w:szCs w:val="20"/>
                <w:highlight w:val="yellow"/>
              </w:rPr>
              <w:t>septiembre</w:t>
            </w:r>
            <w:r w:rsidRPr="00D17C41">
              <w:rPr>
                <w:rFonts w:ascii="Cambria" w:hAnsi="Cambria"/>
                <w:b/>
                <w:bCs/>
                <w:color w:val="FF0000"/>
                <w:sz w:val="20"/>
                <w:szCs w:val="20"/>
                <w:highlight w:val="yellow"/>
              </w:rPr>
              <w:t xml:space="preserve"> de 2025).</w:t>
            </w:r>
            <w:r w:rsidRPr="00D17C41">
              <w:rPr>
                <w:rFonts w:ascii="Cambria" w:hAnsi="Cambria"/>
                <w:b/>
                <w:bCs/>
                <w:sz w:val="20"/>
                <w:szCs w:val="20"/>
                <w:highlight w:val="yellow"/>
              </w:rPr>
              <w:t xml:space="preserve"> </w:t>
            </w:r>
            <w:r w:rsidRPr="00D17C41">
              <w:rPr>
                <w:rFonts w:ascii="Cambria" w:hAnsi="Cambria"/>
                <w:sz w:val="20"/>
                <w:szCs w:val="20"/>
                <w:highlight w:val="yellow"/>
              </w:rPr>
              <w:t xml:space="preserve">Son hechos generadores del impuesto: </w:t>
            </w:r>
          </w:p>
          <w:p w:rsidR="00D17C41" w:rsidRPr="00D17C41" w:rsidRDefault="00D17C41" w:rsidP="00D17C41">
            <w:pPr>
              <w:pStyle w:val="Default"/>
              <w:jc w:val="both"/>
              <w:rPr>
                <w:rFonts w:ascii="Cambria" w:hAnsi="Cambria"/>
                <w:sz w:val="20"/>
                <w:szCs w:val="20"/>
                <w:highlight w:val="yellow"/>
              </w:rPr>
            </w:pPr>
            <w:r w:rsidRPr="00D17C41">
              <w:rPr>
                <w:rFonts w:ascii="Cambria" w:hAnsi="Cambria"/>
                <w:sz w:val="20"/>
                <w:szCs w:val="20"/>
                <w:highlight w:val="yellow"/>
              </w:rPr>
              <w:t xml:space="preserve">1. La primera venta dentro o desde el territorio nacional de hidrocarburos y carbón de las partidas arancelarias que se mencionan a continuación, y </w:t>
            </w:r>
          </w:p>
          <w:p w:rsidR="00D061DD" w:rsidRDefault="00D061DD" w:rsidP="00D17C41">
            <w:pPr>
              <w:jc w:val="both"/>
              <w:rPr>
                <w:rFonts w:ascii="Cambria" w:hAnsi="Cambria"/>
                <w:sz w:val="20"/>
                <w:szCs w:val="20"/>
                <w:highlight w:val="yellow"/>
              </w:rPr>
            </w:pPr>
          </w:p>
          <w:p w:rsidR="00924576" w:rsidRPr="00D17C41" w:rsidRDefault="00D17C41" w:rsidP="00D17C41">
            <w:pPr>
              <w:jc w:val="both"/>
              <w:rPr>
                <w:rFonts w:ascii="Cambria" w:hAnsi="Cambria"/>
                <w:sz w:val="20"/>
                <w:szCs w:val="20"/>
                <w:highlight w:val="yellow"/>
              </w:rPr>
            </w:pPr>
            <w:r w:rsidRPr="00D17C41">
              <w:rPr>
                <w:rFonts w:ascii="Cambria" w:hAnsi="Cambria"/>
                <w:sz w:val="20"/>
                <w:szCs w:val="20"/>
                <w:highlight w:val="yellow"/>
              </w:rPr>
              <w:t xml:space="preserve">2. La presentación y aceptación de la solicitud de autorización de embarque al resto del mundo, de </w:t>
            </w:r>
            <w:r w:rsidRPr="00D17C41">
              <w:rPr>
                <w:rFonts w:ascii="Cambria" w:hAnsi="Cambria"/>
                <w:sz w:val="20"/>
                <w:szCs w:val="20"/>
                <w:highlight w:val="yellow"/>
              </w:rPr>
              <w:lastRenderedPageBreak/>
              <w:t xml:space="preserve">hidrocarburos y carbón de las partidas arancelarias que se mencionan a continuación: </w:t>
            </w:r>
          </w:p>
          <w:p w:rsidR="00D17C41" w:rsidRPr="00D17C41" w:rsidRDefault="00D17C41" w:rsidP="00D17C41">
            <w:pPr>
              <w:jc w:val="both"/>
              <w:rPr>
                <w:rFonts w:ascii="Cambria" w:hAnsi="Cambria"/>
                <w:color w:val="000000" w:themeColor="text1"/>
                <w:sz w:val="20"/>
                <w:szCs w:val="20"/>
                <w:highlight w:val="yellow"/>
              </w:rPr>
            </w:pPr>
          </w:p>
          <w:tbl>
            <w:tblPr>
              <w:tblStyle w:val="Tablaconcuadrcula"/>
              <w:tblW w:w="0" w:type="auto"/>
              <w:tblLook w:val="04A0" w:firstRow="1" w:lastRow="0" w:firstColumn="1" w:lastColumn="0" w:noHBand="0" w:noVBand="1"/>
            </w:tblPr>
            <w:tblGrid>
              <w:gridCol w:w="2319"/>
              <w:gridCol w:w="2320"/>
            </w:tblGrid>
            <w:tr w:rsidR="00D17C41" w:rsidRPr="00D17C41" w:rsidTr="00D17C41">
              <w:tc>
                <w:tcPr>
                  <w:tcW w:w="2319" w:type="dxa"/>
                </w:tcPr>
                <w:p w:rsidR="00D17C41" w:rsidRPr="00D17C41" w:rsidRDefault="00D17C41" w:rsidP="00D17C41">
                  <w:pPr>
                    <w:jc w:val="both"/>
                    <w:rPr>
                      <w:rFonts w:ascii="Cambria" w:hAnsi="Cambria"/>
                      <w:b/>
                      <w:bCs/>
                      <w:color w:val="000000" w:themeColor="text1"/>
                      <w:sz w:val="20"/>
                      <w:szCs w:val="20"/>
                      <w:highlight w:val="yellow"/>
                    </w:rPr>
                  </w:pPr>
                  <w:r w:rsidRPr="00D17C41">
                    <w:rPr>
                      <w:rFonts w:ascii="Cambria" w:hAnsi="Cambria"/>
                      <w:b/>
                      <w:bCs/>
                      <w:color w:val="000000" w:themeColor="text1"/>
                      <w:sz w:val="20"/>
                      <w:szCs w:val="20"/>
                      <w:highlight w:val="yellow"/>
                    </w:rPr>
                    <w:t>Partida arancelaria</w:t>
                  </w:r>
                </w:p>
              </w:tc>
              <w:tc>
                <w:tcPr>
                  <w:tcW w:w="2320" w:type="dxa"/>
                </w:tcPr>
                <w:p w:rsidR="00D17C41" w:rsidRPr="00D17C41" w:rsidRDefault="00D17C41" w:rsidP="00D17C41">
                  <w:pPr>
                    <w:jc w:val="both"/>
                    <w:rPr>
                      <w:rFonts w:ascii="Cambria" w:hAnsi="Cambria"/>
                      <w:b/>
                      <w:bCs/>
                      <w:color w:val="000000" w:themeColor="text1"/>
                      <w:sz w:val="20"/>
                      <w:szCs w:val="20"/>
                      <w:highlight w:val="yellow"/>
                    </w:rPr>
                  </w:pPr>
                  <w:r w:rsidRPr="00D17C41">
                    <w:rPr>
                      <w:rFonts w:ascii="Cambria" w:hAnsi="Cambria"/>
                      <w:b/>
                      <w:bCs/>
                      <w:color w:val="000000" w:themeColor="text1"/>
                      <w:sz w:val="20"/>
                      <w:szCs w:val="20"/>
                      <w:highlight w:val="yellow"/>
                    </w:rPr>
                    <w:t>Descripción</w:t>
                  </w:r>
                </w:p>
              </w:tc>
            </w:tr>
            <w:tr w:rsidR="00D17C41" w:rsidRPr="00D17C41" w:rsidTr="00D17C41">
              <w:tc>
                <w:tcPr>
                  <w:tcW w:w="2319" w:type="dxa"/>
                </w:tcPr>
                <w:p w:rsidR="00D17C41" w:rsidRPr="00D17C41" w:rsidRDefault="00D17C41" w:rsidP="00D17C41">
                  <w:pPr>
                    <w:pStyle w:val="Default"/>
                    <w:jc w:val="both"/>
                    <w:rPr>
                      <w:rFonts w:ascii="Cambria" w:hAnsi="Cambria"/>
                      <w:sz w:val="20"/>
                      <w:szCs w:val="20"/>
                      <w:highlight w:val="yellow"/>
                    </w:rPr>
                  </w:pPr>
                  <w:r w:rsidRPr="00D17C41">
                    <w:rPr>
                      <w:rFonts w:ascii="Cambria" w:hAnsi="Cambria"/>
                      <w:sz w:val="20"/>
                      <w:szCs w:val="20"/>
                      <w:highlight w:val="yellow"/>
                    </w:rPr>
                    <w:t xml:space="preserve">27.01 </w:t>
                  </w:r>
                </w:p>
              </w:tc>
              <w:tc>
                <w:tcPr>
                  <w:tcW w:w="2320" w:type="dxa"/>
                </w:tcPr>
                <w:p w:rsidR="00D17C41" w:rsidRPr="00D17C41" w:rsidRDefault="00D17C41" w:rsidP="00D17C41">
                  <w:pPr>
                    <w:pStyle w:val="Default"/>
                    <w:jc w:val="both"/>
                    <w:rPr>
                      <w:rFonts w:ascii="Cambria" w:hAnsi="Cambria"/>
                      <w:sz w:val="20"/>
                      <w:szCs w:val="20"/>
                      <w:highlight w:val="yellow"/>
                    </w:rPr>
                  </w:pPr>
                  <w:r w:rsidRPr="00D17C41">
                    <w:rPr>
                      <w:rFonts w:ascii="Cambria" w:hAnsi="Cambria"/>
                      <w:sz w:val="20"/>
                      <w:szCs w:val="20"/>
                      <w:highlight w:val="yellow"/>
                    </w:rPr>
                    <w:t xml:space="preserve">Hullas; briquetas, ovoides y combustibles sólidos similares, obtenidos de la hulla. </w:t>
                  </w:r>
                </w:p>
              </w:tc>
            </w:tr>
            <w:tr w:rsidR="00D17C41" w:rsidRPr="00D17C41" w:rsidTr="00D17C41">
              <w:tc>
                <w:tcPr>
                  <w:tcW w:w="2319" w:type="dxa"/>
                </w:tcPr>
                <w:p w:rsidR="00D17C41" w:rsidRPr="00D17C41" w:rsidRDefault="00D17C41" w:rsidP="00D17C41">
                  <w:pPr>
                    <w:pStyle w:val="Default"/>
                    <w:jc w:val="both"/>
                    <w:rPr>
                      <w:rFonts w:ascii="Cambria" w:hAnsi="Cambria"/>
                      <w:sz w:val="20"/>
                      <w:szCs w:val="20"/>
                      <w:highlight w:val="yellow"/>
                    </w:rPr>
                  </w:pPr>
                  <w:r w:rsidRPr="00D17C41">
                    <w:rPr>
                      <w:rFonts w:ascii="Cambria" w:hAnsi="Cambria"/>
                      <w:sz w:val="20"/>
                      <w:szCs w:val="20"/>
                      <w:highlight w:val="yellow"/>
                    </w:rPr>
                    <w:t xml:space="preserve">27.09 </w:t>
                  </w:r>
                </w:p>
              </w:tc>
              <w:tc>
                <w:tcPr>
                  <w:tcW w:w="2320" w:type="dxa"/>
                </w:tcPr>
                <w:p w:rsidR="00D17C41" w:rsidRPr="00D17C41" w:rsidRDefault="00D17C41" w:rsidP="00D17C41">
                  <w:pPr>
                    <w:pStyle w:val="Default"/>
                    <w:jc w:val="both"/>
                    <w:rPr>
                      <w:rFonts w:ascii="Cambria" w:hAnsi="Cambria"/>
                      <w:sz w:val="20"/>
                      <w:szCs w:val="20"/>
                      <w:highlight w:val="yellow"/>
                    </w:rPr>
                  </w:pPr>
                  <w:r w:rsidRPr="00D17C41">
                    <w:rPr>
                      <w:rFonts w:ascii="Cambria" w:hAnsi="Cambria"/>
                      <w:sz w:val="20"/>
                      <w:szCs w:val="20"/>
                      <w:highlight w:val="yellow"/>
                    </w:rPr>
                    <w:t xml:space="preserve">Aceites crudos de petróleo o de mineral bituminoso. </w:t>
                  </w:r>
                </w:p>
              </w:tc>
            </w:tr>
          </w:tbl>
          <w:p w:rsidR="00D17C41" w:rsidRPr="00D17C41" w:rsidRDefault="00D17C41" w:rsidP="00D17C41">
            <w:pPr>
              <w:jc w:val="both"/>
              <w:rPr>
                <w:rFonts w:ascii="Cambria" w:hAnsi="Cambria"/>
                <w:b/>
                <w:bCs/>
                <w:color w:val="000000" w:themeColor="text1"/>
                <w:sz w:val="20"/>
                <w:szCs w:val="20"/>
                <w:highlight w:val="yellow"/>
              </w:rPr>
            </w:pPr>
          </w:p>
          <w:p w:rsidR="00D17C41" w:rsidRPr="00D17C41" w:rsidRDefault="00D17C41" w:rsidP="00D17C41">
            <w:pPr>
              <w:pStyle w:val="Default"/>
              <w:jc w:val="both"/>
              <w:rPr>
                <w:rFonts w:ascii="Cambria" w:hAnsi="Cambria"/>
                <w:sz w:val="20"/>
                <w:szCs w:val="20"/>
                <w:highlight w:val="yellow"/>
              </w:rPr>
            </w:pPr>
            <w:r w:rsidRPr="00D17C41">
              <w:rPr>
                <w:rFonts w:ascii="Cambria" w:hAnsi="Cambria"/>
                <w:b/>
                <w:bCs/>
                <w:sz w:val="20"/>
                <w:szCs w:val="20"/>
                <w:highlight w:val="yellow"/>
              </w:rPr>
              <w:t xml:space="preserve">Parágrafo 1. </w:t>
            </w:r>
            <w:r w:rsidRPr="00D17C41">
              <w:rPr>
                <w:rFonts w:ascii="Cambria" w:hAnsi="Cambria"/>
                <w:sz w:val="20"/>
                <w:szCs w:val="20"/>
                <w:highlight w:val="yellow"/>
              </w:rPr>
              <w:t xml:space="preserve">El Impuesto que se causará: (i) en el caso de la primera venta dentro o desde el territorio nacional, con la emisión de la factura y a falta de esta, en el momento de la primera entrega, aunque se haya pactado reserva de dominio, pacto de retroventa o condición resolutoria; y (ii) en el caso de la exportación, con la presentación y aceptación de la solicitud de autorización de embarque al resto del mundo de Hidrocarburos y Carbón de las partidas arancelarias señaladas. </w:t>
            </w:r>
          </w:p>
          <w:p w:rsidR="00D17C41" w:rsidRPr="00D17C41" w:rsidRDefault="00D17C41" w:rsidP="00D17C41">
            <w:pPr>
              <w:jc w:val="both"/>
              <w:rPr>
                <w:rFonts w:ascii="Cambria" w:hAnsi="Cambria"/>
                <w:b/>
                <w:bCs/>
                <w:sz w:val="20"/>
                <w:szCs w:val="20"/>
                <w:highlight w:val="yellow"/>
              </w:rPr>
            </w:pPr>
          </w:p>
          <w:p w:rsidR="00D17C41" w:rsidRPr="00D17C41" w:rsidRDefault="00D17C41" w:rsidP="00D17C41">
            <w:pPr>
              <w:jc w:val="both"/>
              <w:rPr>
                <w:rFonts w:ascii="Cambria" w:hAnsi="Cambria"/>
                <w:b/>
                <w:bCs/>
                <w:color w:val="000000" w:themeColor="text1"/>
                <w:sz w:val="20"/>
                <w:szCs w:val="20"/>
                <w:highlight w:val="yellow"/>
              </w:rPr>
            </w:pPr>
            <w:r w:rsidRPr="00D17C41">
              <w:rPr>
                <w:rFonts w:ascii="Cambria" w:hAnsi="Cambria"/>
                <w:b/>
                <w:bCs/>
                <w:sz w:val="20"/>
                <w:szCs w:val="20"/>
                <w:highlight w:val="yellow"/>
              </w:rPr>
              <w:t xml:space="preserve">Parágrafo 2. </w:t>
            </w:r>
            <w:r w:rsidRPr="00D17C41">
              <w:rPr>
                <w:rFonts w:ascii="Cambria" w:hAnsi="Cambria"/>
                <w:sz w:val="20"/>
                <w:szCs w:val="20"/>
                <w:highlight w:val="yellow"/>
              </w:rPr>
              <w:t xml:space="preserve">Los aceites crudos de petróleo o de mineral bituminoso de la partida arancelaria 27.09 recibidos por parte de la Agencia Nacional de Hidrocarburos por concepto de pago de regalías, no causan este impuesto al momento de la venta. Este sólo se causará al momento de la exportación </w:t>
            </w:r>
          </w:p>
          <w:p w:rsidR="00D17C41" w:rsidRPr="00D17C41" w:rsidRDefault="00D17C41" w:rsidP="00D17C41">
            <w:pPr>
              <w:jc w:val="both"/>
              <w:rPr>
                <w:rFonts w:ascii="Cambria" w:hAnsi="Cambria"/>
                <w:b/>
                <w:bCs/>
                <w:color w:val="000000" w:themeColor="text1"/>
                <w:sz w:val="20"/>
                <w:szCs w:val="20"/>
                <w:highlight w:val="yellow"/>
              </w:rPr>
            </w:pPr>
          </w:p>
          <w:p w:rsidR="00D17C41" w:rsidRPr="00D17C41" w:rsidRDefault="00D17C41" w:rsidP="00D17C41">
            <w:pPr>
              <w:jc w:val="both"/>
              <w:rPr>
                <w:rFonts w:ascii="Cambria" w:hAnsi="Cambria"/>
                <w:b/>
                <w:bCs/>
                <w:color w:val="000000" w:themeColor="text1"/>
                <w:sz w:val="20"/>
                <w:szCs w:val="20"/>
                <w:highlight w:val="yellow"/>
              </w:rPr>
            </w:pPr>
          </w:p>
          <w:p w:rsidR="00D17C41" w:rsidRPr="00D17C41" w:rsidRDefault="00D17C41" w:rsidP="00D17C41">
            <w:pPr>
              <w:jc w:val="both"/>
              <w:rPr>
                <w:rFonts w:ascii="Cambria" w:hAnsi="Cambria"/>
                <w:b/>
                <w:bCs/>
                <w:color w:val="000000" w:themeColor="text1"/>
                <w:sz w:val="20"/>
                <w:szCs w:val="20"/>
                <w:highlight w:val="yellow"/>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lastRenderedPageBreak/>
              <w:t xml:space="preserve">Artículo </w:t>
            </w:r>
            <w:r w:rsidR="00D951FC" w:rsidRPr="00D951FC">
              <w:rPr>
                <w:rFonts w:ascii="Cambria" w:hAnsi="Cambria"/>
                <w:b/>
                <w:bCs/>
                <w:color w:val="000000" w:themeColor="text1"/>
                <w:sz w:val="20"/>
                <w:szCs w:val="20"/>
              </w:rPr>
              <w:t>513-1</w:t>
            </w:r>
            <w:r w:rsidR="00D951FC">
              <w:rPr>
                <w:rFonts w:ascii="Cambria" w:hAnsi="Cambria"/>
                <w:b/>
                <w:bCs/>
                <w:color w:val="000000" w:themeColor="text1"/>
                <w:sz w:val="20"/>
                <w:szCs w:val="20"/>
              </w:rPr>
              <w:t>6</w:t>
            </w:r>
            <w:r w:rsidR="00D951FC" w:rsidRPr="00D951FC">
              <w:rPr>
                <w:rFonts w:ascii="Cambria" w:hAnsi="Cambria"/>
                <w:b/>
                <w:bCs/>
                <w:color w:val="000000" w:themeColor="text1"/>
                <w:sz w:val="20"/>
                <w:szCs w:val="20"/>
              </w:rPr>
              <w:t xml:space="preserve"> (No existía)</w:t>
            </w:r>
          </w:p>
        </w:tc>
        <w:tc>
          <w:tcPr>
            <w:tcW w:w="4865" w:type="dxa"/>
          </w:tcPr>
          <w:p w:rsidR="00D061DD" w:rsidRPr="00D061DD" w:rsidRDefault="00D061DD" w:rsidP="00D061DD">
            <w:pPr>
              <w:pStyle w:val="Default"/>
              <w:jc w:val="both"/>
              <w:rPr>
                <w:rFonts w:ascii="Cambria" w:hAnsi="Cambria"/>
                <w:sz w:val="20"/>
                <w:szCs w:val="20"/>
                <w:highlight w:val="yellow"/>
              </w:rPr>
            </w:pPr>
            <w:r w:rsidRPr="00D061DD">
              <w:rPr>
                <w:rFonts w:ascii="Cambria" w:hAnsi="Cambria"/>
                <w:b/>
                <w:bCs/>
                <w:sz w:val="20"/>
                <w:szCs w:val="20"/>
                <w:highlight w:val="yellow"/>
              </w:rPr>
              <w:t>Artículo 513-16. Base gravable</w:t>
            </w:r>
            <w:r>
              <w:rPr>
                <w:rFonts w:ascii="Cambria" w:hAnsi="Cambria"/>
                <w:b/>
                <w:bCs/>
                <w:sz w:val="20"/>
                <w:szCs w:val="20"/>
                <w:highlight w:val="yellow"/>
              </w:rPr>
              <w:t xml:space="preserve"> (</w:t>
            </w:r>
            <w:r w:rsidRPr="00D17C41">
              <w:rPr>
                <w:rFonts w:ascii="Cambria" w:hAnsi="Cambria"/>
                <w:b/>
                <w:bCs/>
                <w:color w:val="FF0000"/>
                <w:sz w:val="20"/>
                <w:szCs w:val="20"/>
                <w:highlight w:val="yellow"/>
              </w:rPr>
              <w:t>agregado con artículo 28 del proyecto de Ley</w:t>
            </w:r>
            <w:r w:rsidR="00852E78">
              <w:rPr>
                <w:rFonts w:ascii="Cambria" w:hAnsi="Cambria"/>
                <w:b/>
                <w:bCs/>
                <w:color w:val="FF0000"/>
                <w:sz w:val="20"/>
                <w:szCs w:val="20"/>
                <w:highlight w:val="yellow"/>
              </w:rPr>
              <w:t xml:space="preserve"> septiembre</w:t>
            </w:r>
            <w:r w:rsidR="00852E78" w:rsidRPr="00D17C41">
              <w:rPr>
                <w:rFonts w:ascii="Cambria" w:hAnsi="Cambria"/>
                <w:b/>
                <w:bCs/>
                <w:color w:val="FF0000"/>
                <w:sz w:val="20"/>
                <w:szCs w:val="20"/>
                <w:highlight w:val="yellow"/>
              </w:rPr>
              <w:t xml:space="preserve"> de 2025</w:t>
            </w:r>
            <w:r w:rsidRPr="00D061DD">
              <w:rPr>
                <w:rFonts w:ascii="Cambria" w:hAnsi="Cambria"/>
                <w:sz w:val="20"/>
                <w:szCs w:val="20"/>
                <w:highlight w:val="yellow"/>
              </w:rPr>
              <w:t>. La base gravable será:</w:t>
            </w:r>
          </w:p>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1. En la venta dentro o desde el territorio nacional, el valor de la venta; </w:t>
            </w:r>
          </w:p>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2. En la presentación y aceptación de la solicitud de autorización de embarque, el valor FOB en pesos de los hidrocarburos y/o carbón exportado de las partidas arancelarias establecidas en el artículo 513-15 del Estatuto Tributario. En caso de que el valor FOB esté en dólares de los Estados Unidos de América, se utilizará la TRM del día en que se presente y acepte la solicitud de autorización de embarque para convertir ese valor a pesos colombianos. </w:t>
            </w:r>
          </w:p>
          <w:p w:rsidR="00924576" w:rsidRDefault="00D061DD" w:rsidP="00D061DD">
            <w:pPr>
              <w:jc w:val="both"/>
              <w:rPr>
                <w:rFonts w:ascii="Cambria" w:hAnsi="Cambria"/>
                <w:sz w:val="20"/>
                <w:szCs w:val="20"/>
                <w:highlight w:val="yellow"/>
              </w:rPr>
            </w:pPr>
            <w:r w:rsidRPr="00D061DD">
              <w:rPr>
                <w:rFonts w:ascii="Cambria" w:hAnsi="Cambria"/>
                <w:b/>
                <w:bCs/>
                <w:sz w:val="20"/>
                <w:szCs w:val="20"/>
                <w:highlight w:val="yellow"/>
              </w:rPr>
              <w:t xml:space="preserve">Parágrafo. </w:t>
            </w:r>
            <w:r w:rsidRPr="00D061DD">
              <w:rPr>
                <w:rFonts w:ascii="Cambria" w:hAnsi="Cambria"/>
                <w:sz w:val="20"/>
                <w:szCs w:val="20"/>
                <w:highlight w:val="yellow"/>
              </w:rPr>
              <w:t xml:space="preserve">Cuando quien extrae el hidrocarburo o el carbón, es quien lo exporta directamente, el impuesto sólo se causa una vez, aplicando la base gravable de la presentación y aceptación de la solicitud de autorización de embarque, prevista en este artículo. </w:t>
            </w:r>
          </w:p>
          <w:p w:rsidR="00D061DD" w:rsidRPr="00D061DD" w:rsidRDefault="00D061DD" w:rsidP="00D061DD">
            <w:pPr>
              <w:jc w:val="both"/>
              <w:rPr>
                <w:rFonts w:ascii="Cambria" w:hAnsi="Cambria"/>
                <w:b/>
                <w:bCs/>
                <w:color w:val="000000" w:themeColor="text1"/>
                <w:sz w:val="20"/>
                <w:szCs w:val="20"/>
                <w:highlight w:val="yellow"/>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lastRenderedPageBreak/>
              <w:t xml:space="preserve">Artículo </w:t>
            </w:r>
            <w:r w:rsidR="00D951FC" w:rsidRPr="00D951FC">
              <w:rPr>
                <w:rFonts w:ascii="Cambria" w:hAnsi="Cambria"/>
                <w:b/>
                <w:bCs/>
                <w:color w:val="000000" w:themeColor="text1"/>
                <w:sz w:val="20"/>
                <w:szCs w:val="20"/>
              </w:rPr>
              <w:t>513-1</w:t>
            </w:r>
            <w:r w:rsidR="00D951FC">
              <w:rPr>
                <w:rFonts w:ascii="Cambria" w:hAnsi="Cambria"/>
                <w:b/>
                <w:bCs/>
                <w:color w:val="000000" w:themeColor="text1"/>
                <w:sz w:val="20"/>
                <w:szCs w:val="20"/>
              </w:rPr>
              <w:t>7</w:t>
            </w:r>
            <w:r w:rsidR="00D951FC" w:rsidRPr="00D951FC">
              <w:rPr>
                <w:rFonts w:ascii="Cambria" w:hAnsi="Cambria"/>
                <w:b/>
                <w:bCs/>
                <w:color w:val="000000" w:themeColor="text1"/>
                <w:sz w:val="20"/>
                <w:szCs w:val="20"/>
              </w:rPr>
              <w:t xml:space="preserve"> (No existía)</w:t>
            </w:r>
          </w:p>
        </w:tc>
        <w:tc>
          <w:tcPr>
            <w:tcW w:w="4865" w:type="dxa"/>
          </w:tcPr>
          <w:p w:rsidR="00924576" w:rsidRPr="00D061DD" w:rsidRDefault="00D061DD" w:rsidP="00D17C41">
            <w:pPr>
              <w:jc w:val="both"/>
              <w:rPr>
                <w:rFonts w:ascii="Cambria" w:hAnsi="Cambria"/>
                <w:sz w:val="20"/>
                <w:szCs w:val="20"/>
              </w:rPr>
            </w:pPr>
            <w:r w:rsidRPr="00D061DD">
              <w:rPr>
                <w:rFonts w:ascii="Cambria" w:hAnsi="Cambria"/>
                <w:b/>
                <w:bCs/>
                <w:sz w:val="20"/>
                <w:szCs w:val="20"/>
                <w:highlight w:val="yellow"/>
              </w:rPr>
              <w:t>Artículo 513-17. Tarifa</w:t>
            </w:r>
            <w:r>
              <w:rPr>
                <w:rFonts w:ascii="Cambria" w:hAnsi="Cambria"/>
                <w:b/>
                <w:bCs/>
                <w:sz w:val="20"/>
                <w:szCs w:val="20"/>
                <w:highlight w:val="yellow"/>
              </w:rPr>
              <w:t xml:space="preserve"> (</w:t>
            </w:r>
            <w:r w:rsidRPr="00D17C41">
              <w:rPr>
                <w:rFonts w:ascii="Cambria" w:hAnsi="Cambria"/>
                <w:b/>
                <w:bCs/>
                <w:color w:val="FF0000"/>
                <w:sz w:val="20"/>
                <w:szCs w:val="20"/>
                <w:highlight w:val="yellow"/>
              </w:rPr>
              <w:t>agregado con artículo 28 del proyecto de</w:t>
            </w:r>
            <w:r w:rsidR="00852E78">
              <w:rPr>
                <w:rFonts w:ascii="Cambria" w:hAnsi="Cambria"/>
                <w:b/>
                <w:bCs/>
                <w:color w:val="FF0000"/>
                <w:sz w:val="20"/>
                <w:szCs w:val="20"/>
                <w:highlight w:val="yellow"/>
              </w:rPr>
              <w:t xml:space="preserve"> </w:t>
            </w:r>
            <w:r w:rsidR="00852E78" w:rsidRPr="00D17C41">
              <w:rPr>
                <w:rFonts w:ascii="Cambria" w:hAnsi="Cambria"/>
                <w:b/>
                <w:bCs/>
                <w:color w:val="FF0000"/>
                <w:sz w:val="20"/>
                <w:szCs w:val="20"/>
                <w:highlight w:val="yellow"/>
              </w:rPr>
              <w:t xml:space="preserve">Ley </w:t>
            </w:r>
            <w:r w:rsidR="00852E78">
              <w:rPr>
                <w:rFonts w:ascii="Cambria" w:hAnsi="Cambria"/>
                <w:b/>
                <w:bCs/>
                <w:color w:val="FF0000"/>
                <w:sz w:val="20"/>
                <w:szCs w:val="20"/>
                <w:highlight w:val="yellow"/>
              </w:rPr>
              <w:t>septiembre</w:t>
            </w:r>
            <w:r w:rsidR="00852E78" w:rsidRPr="00D17C41">
              <w:rPr>
                <w:rFonts w:ascii="Cambria" w:hAnsi="Cambria"/>
                <w:b/>
                <w:bCs/>
                <w:color w:val="FF0000"/>
                <w:sz w:val="20"/>
                <w:szCs w:val="20"/>
                <w:highlight w:val="yellow"/>
              </w:rPr>
              <w:t xml:space="preserve"> de 2025</w:t>
            </w:r>
            <w:r>
              <w:rPr>
                <w:rFonts w:ascii="Cambria" w:hAnsi="Cambria"/>
                <w:b/>
                <w:bCs/>
                <w:color w:val="FF0000"/>
                <w:sz w:val="20"/>
                <w:szCs w:val="20"/>
                <w:highlight w:val="yellow"/>
              </w:rPr>
              <w:t>)</w:t>
            </w:r>
            <w:r w:rsidRPr="00D061DD">
              <w:rPr>
                <w:rFonts w:ascii="Cambria" w:hAnsi="Cambria"/>
                <w:b/>
                <w:bCs/>
                <w:sz w:val="20"/>
                <w:szCs w:val="20"/>
                <w:highlight w:val="yellow"/>
              </w:rPr>
              <w:t xml:space="preserve">. </w:t>
            </w:r>
            <w:r w:rsidRPr="00D061DD">
              <w:rPr>
                <w:rFonts w:ascii="Cambria" w:hAnsi="Cambria"/>
                <w:sz w:val="20"/>
                <w:szCs w:val="20"/>
                <w:highlight w:val="yellow"/>
              </w:rPr>
              <w:t>La tarifa será la siguiente:</w:t>
            </w:r>
            <w:r w:rsidRPr="00D061DD">
              <w:rPr>
                <w:rFonts w:ascii="Cambria" w:hAnsi="Cambria"/>
                <w:sz w:val="20"/>
                <w:szCs w:val="20"/>
              </w:rPr>
              <w:t xml:space="preserve"> </w:t>
            </w:r>
          </w:p>
          <w:p w:rsidR="00D061DD" w:rsidRPr="00D061DD" w:rsidRDefault="00D061DD" w:rsidP="00D17C41">
            <w:pPr>
              <w:jc w:val="both"/>
              <w:rPr>
                <w:rFonts w:ascii="Cambria" w:hAnsi="Cambria"/>
                <w:sz w:val="20"/>
                <w:szCs w:val="20"/>
              </w:rPr>
            </w:pPr>
          </w:p>
          <w:tbl>
            <w:tblPr>
              <w:tblStyle w:val="Tablaconcuadrcula"/>
              <w:tblW w:w="0" w:type="auto"/>
              <w:tblLook w:val="04A0" w:firstRow="1" w:lastRow="0" w:firstColumn="1" w:lastColumn="0" w:noHBand="0" w:noVBand="1"/>
            </w:tblPr>
            <w:tblGrid>
              <w:gridCol w:w="1546"/>
              <w:gridCol w:w="1546"/>
              <w:gridCol w:w="1547"/>
            </w:tblGrid>
            <w:tr w:rsidR="00D061DD" w:rsidRPr="00D061DD" w:rsidTr="00D061DD">
              <w:tc>
                <w:tcPr>
                  <w:tcW w:w="1546" w:type="dxa"/>
                </w:tcPr>
                <w:p w:rsidR="00D061DD" w:rsidRPr="00D061DD" w:rsidRDefault="00D061DD" w:rsidP="00D061DD">
                  <w:pPr>
                    <w:jc w:val="both"/>
                    <w:rPr>
                      <w:rFonts w:ascii="Cambria" w:hAnsi="Cambria"/>
                      <w:b/>
                      <w:bCs/>
                      <w:color w:val="000000" w:themeColor="text1"/>
                      <w:sz w:val="20"/>
                      <w:szCs w:val="20"/>
                      <w:highlight w:val="yellow"/>
                    </w:rPr>
                  </w:pPr>
                  <w:r w:rsidRPr="00D061DD">
                    <w:rPr>
                      <w:rFonts w:ascii="Cambria" w:hAnsi="Cambria"/>
                      <w:b/>
                      <w:bCs/>
                      <w:color w:val="000000" w:themeColor="text1"/>
                      <w:sz w:val="20"/>
                      <w:szCs w:val="20"/>
                      <w:highlight w:val="yellow"/>
                    </w:rPr>
                    <w:t>Partida arancelaria</w:t>
                  </w:r>
                </w:p>
              </w:tc>
              <w:tc>
                <w:tcPr>
                  <w:tcW w:w="1546" w:type="dxa"/>
                </w:tcPr>
                <w:p w:rsidR="00D061DD" w:rsidRPr="00D061DD" w:rsidRDefault="00D061DD" w:rsidP="00D061DD">
                  <w:pPr>
                    <w:jc w:val="both"/>
                    <w:rPr>
                      <w:rFonts w:ascii="Cambria" w:hAnsi="Cambria"/>
                      <w:b/>
                      <w:bCs/>
                      <w:color w:val="000000" w:themeColor="text1"/>
                      <w:sz w:val="20"/>
                      <w:szCs w:val="20"/>
                      <w:highlight w:val="yellow"/>
                    </w:rPr>
                  </w:pPr>
                  <w:r w:rsidRPr="00D061DD">
                    <w:rPr>
                      <w:rFonts w:ascii="Cambria" w:hAnsi="Cambria"/>
                      <w:b/>
                      <w:bCs/>
                      <w:color w:val="000000" w:themeColor="text1"/>
                      <w:sz w:val="20"/>
                      <w:szCs w:val="20"/>
                      <w:highlight w:val="yellow"/>
                    </w:rPr>
                    <w:t>Descripción</w:t>
                  </w:r>
                </w:p>
              </w:tc>
              <w:tc>
                <w:tcPr>
                  <w:tcW w:w="1547" w:type="dxa"/>
                </w:tcPr>
                <w:p w:rsidR="00D061DD" w:rsidRPr="00D061DD" w:rsidRDefault="00D061DD" w:rsidP="00D061DD">
                  <w:pPr>
                    <w:jc w:val="both"/>
                    <w:rPr>
                      <w:rFonts w:ascii="Cambria" w:hAnsi="Cambria"/>
                      <w:sz w:val="20"/>
                      <w:szCs w:val="20"/>
                      <w:highlight w:val="yellow"/>
                    </w:rPr>
                  </w:pPr>
                  <w:r w:rsidRPr="00D061DD">
                    <w:rPr>
                      <w:rFonts w:ascii="Cambria" w:hAnsi="Cambria"/>
                      <w:sz w:val="20"/>
                      <w:szCs w:val="20"/>
                      <w:highlight w:val="yellow"/>
                    </w:rPr>
                    <w:t>Tarifa</w:t>
                  </w:r>
                </w:p>
              </w:tc>
            </w:tr>
            <w:tr w:rsidR="00D061DD" w:rsidRPr="00D061DD" w:rsidTr="00D061DD">
              <w:tc>
                <w:tcPr>
                  <w:tcW w:w="1546" w:type="dxa"/>
                </w:tcPr>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27.01 </w:t>
                  </w:r>
                </w:p>
              </w:tc>
              <w:tc>
                <w:tcPr>
                  <w:tcW w:w="1546" w:type="dxa"/>
                </w:tcPr>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Hullas; briquetas, ovoides y combustibles sólidos similares, obtenidos de la hulla. </w:t>
                  </w:r>
                </w:p>
              </w:tc>
              <w:tc>
                <w:tcPr>
                  <w:tcW w:w="1547" w:type="dxa"/>
                </w:tcPr>
                <w:p w:rsidR="00D061DD" w:rsidRPr="00D061DD" w:rsidRDefault="00D061DD" w:rsidP="00D061DD">
                  <w:pPr>
                    <w:jc w:val="both"/>
                    <w:rPr>
                      <w:rFonts w:ascii="Cambria" w:hAnsi="Cambria"/>
                      <w:sz w:val="20"/>
                      <w:szCs w:val="20"/>
                      <w:highlight w:val="yellow"/>
                    </w:rPr>
                  </w:pPr>
                  <w:r w:rsidRPr="00D061DD">
                    <w:rPr>
                      <w:rFonts w:ascii="Cambria" w:hAnsi="Cambria"/>
                      <w:sz w:val="20"/>
                      <w:szCs w:val="20"/>
                      <w:highlight w:val="yellow"/>
                    </w:rPr>
                    <w:t>1%</w:t>
                  </w:r>
                </w:p>
              </w:tc>
            </w:tr>
            <w:tr w:rsidR="00D061DD" w:rsidRPr="00D061DD" w:rsidTr="00D061DD">
              <w:tc>
                <w:tcPr>
                  <w:tcW w:w="1546" w:type="dxa"/>
                </w:tcPr>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27.09 </w:t>
                  </w:r>
                </w:p>
              </w:tc>
              <w:tc>
                <w:tcPr>
                  <w:tcW w:w="1546" w:type="dxa"/>
                </w:tcPr>
                <w:p w:rsidR="00D061DD" w:rsidRPr="00D061DD" w:rsidRDefault="00D061DD" w:rsidP="00D061DD">
                  <w:pPr>
                    <w:pStyle w:val="Default"/>
                    <w:jc w:val="both"/>
                    <w:rPr>
                      <w:rFonts w:ascii="Cambria" w:hAnsi="Cambria"/>
                      <w:sz w:val="20"/>
                      <w:szCs w:val="20"/>
                      <w:highlight w:val="yellow"/>
                    </w:rPr>
                  </w:pPr>
                  <w:r w:rsidRPr="00D061DD">
                    <w:rPr>
                      <w:rFonts w:ascii="Cambria" w:hAnsi="Cambria"/>
                      <w:sz w:val="20"/>
                      <w:szCs w:val="20"/>
                      <w:highlight w:val="yellow"/>
                    </w:rPr>
                    <w:t xml:space="preserve">Aceites crudos de petróleo o de mineral bituminoso. </w:t>
                  </w:r>
                </w:p>
              </w:tc>
              <w:tc>
                <w:tcPr>
                  <w:tcW w:w="1547" w:type="dxa"/>
                </w:tcPr>
                <w:p w:rsidR="00D061DD" w:rsidRPr="00D061DD" w:rsidRDefault="00D061DD" w:rsidP="00D061DD">
                  <w:pPr>
                    <w:jc w:val="both"/>
                    <w:rPr>
                      <w:rFonts w:ascii="Cambria" w:hAnsi="Cambria"/>
                      <w:sz w:val="20"/>
                      <w:szCs w:val="20"/>
                      <w:highlight w:val="yellow"/>
                    </w:rPr>
                  </w:pPr>
                  <w:r w:rsidRPr="00D061DD">
                    <w:rPr>
                      <w:rFonts w:ascii="Cambria" w:hAnsi="Cambria"/>
                      <w:sz w:val="20"/>
                      <w:szCs w:val="20"/>
                      <w:highlight w:val="yellow"/>
                    </w:rPr>
                    <w:t>1%</w:t>
                  </w:r>
                </w:p>
              </w:tc>
            </w:tr>
          </w:tbl>
          <w:p w:rsidR="00D061DD" w:rsidRDefault="00D061DD" w:rsidP="00D17C41">
            <w:pPr>
              <w:jc w:val="both"/>
              <w:rPr>
                <w:sz w:val="20"/>
                <w:szCs w:val="20"/>
              </w:rPr>
            </w:pPr>
          </w:p>
          <w:p w:rsidR="00D061DD" w:rsidRPr="00D17C41" w:rsidRDefault="00D061DD" w:rsidP="00D17C41">
            <w:pPr>
              <w:jc w:val="both"/>
              <w:rPr>
                <w:rFonts w:ascii="Cambria" w:hAnsi="Cambria"/>
                <w:b/>
                <w:bCs/>
                <w:color w:val="000000" w:themeColor="text1"/>
                <w:sz w:val="20"/>
                <w:szCs w:val="20"/>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t xml:space="preserve">Artículo </w:t>
            </w:r>
            <w:r w:rsidR="00D951FC" w:rsidRPr="00D951FC">
              <w:rPr>
                <w:rFonts w:ascii="Cambria" w:hAnsi="Cambria"/>
                <w:b/>
                <w:bCs/>
                <w:color w:val="000000" w:themeColor="text1"/>
                <w:sz w:val="20"/>
                <w:szCs w:val="20"/>
              </w:rPr>
              <w:t>513-1</w:t>
            </w:r>
            <w:r w:rsidR="00D951FC">
              <w:rPr>
                <w:rFonts w:ascii="Cambria" w:hAnsi="Cambria"/>
                <w:b/>
                <w:bCs/>
                <w:color w:val="000000" w:themeColor="text1"/>
                <w:sz w:val="20"/>
                <w:szCs w:val="20"/>
              </w:rPr>
              <w:t>8</w:t>
            </w:r>
            <w:r w:rsidR="00D951FC" w:rsidRPr="00D951FC">
              <w:rPr>
                <w:rFonts w:ascii="Cambria" w:hAnsi="Cambria"/>
                <w:b/>
                <w:bCs/>
                <w:color w:val="000000" w:themeColor="text1"/>
                <w:sz w:val="20"/>
                <w:szCs w:val="20"/>
              </w:rPr>
              <w:t xml:space="preserve"> (No existía)</w:t>
            </w:r>
          </w:p>
        </w:tc>
        <w:tc>
          <w:tcPr>
            <w:tcW w:w="4865" w:type="dxa"/>
          </w:tcPr>
          <w:p w:rsidR="00924576" w:rsidRDefault="00D061DD" w:rsidP="00924576">
            <w:pPr>
              <w:jc w:val="both"/>
              <w:rPr>
                <w:rFonts w:ascii="Cambria" w:hAnsi="Cambria"/>
                <w:sz w:val="20"/>
                <w:szCs w:val="20"/>
              </w:rPr>
            </w:pPr>
            <w:r w:rsidRPr="00D061DD">
              <w:rPr>
                <w:rFonts w:ascii="Cambria" w:hAnsi="Cambria"/>
                <w:b/>
                <w:bCs/>
                <w:sz w:val="20"/>
                <w:szCs w:val="20"/>
                <w:highlight w:val="yellow"/>
              </w:rPr>
              <w:t>Artículo 513-18. Sujeto pasivo y responsable</w:t>
            </w:r>
            <w:r>
              <w:rPr>
                <w:rFonts w:ascii="Cambria" w:hAnsi="Cambria"/>
                <w:b/>
                <w:bCs/>
                <w:sz w:val="20"/>
                <w:szCs w:val="20"/>
                <w:highlight w:val="yellow"/>
              </w:rPr>
              <w:t xml:space="preserve"> (</w:t>
            </w:r>
            <w:r w:rsidRPr="00D17C41">
              <w:rPr>
                <w:rFonts w:ascii="Cambria" w:hAnsi="Cambria"/>
                <w:b/>
                <w:bCs/>
                <w:color w:val="FF0000"/>
                <w:sz w:val="20"/>
                <w:szCs w:val="20"/>
                <w:highlight w:val="yellow"/>
              </w:rPr>
              <w:t>agregado con artículo 28 del proyecto de</w:t>
            </w:r>
            <w:r w:rsidR="00852E78">
              <w:rPr>
                <w:rFonts w:ascii="Cambria" w:hAnsi="Cambria"/>
                <w:b/>
                <w:bCs/>
                <w:color w:val="FF0000"/>
                <w:sz w:val="20"/>
                <w:szCs w:val="20"/>
                <w:highlight w:val="yellow"/>
              </w:rPr>
              <w:t xml:space="preserve"> </w:t>
            </w:r>
            <w:r w:rsidR="00852E78" w:rsidRPr="00D17C41">
              <w:rPr>
                <w:rFonts w:ascii="Cambria" w:hAnsi="Cambria"/>
                <w:b/>
                <w:bCs/>
                <w:color w:val="FF0000"/>
                <w:sz w:val="20"/>
                <w:szCs w:val="20"/>
                <w:highlight w:val="yellow"/>
              </w:rPr>
              <w:t xml:space="preserve">Ley </w:t>
            </w:r>
            <w:r w:rsidR="00852E78">
              <w:rPr>
                <w:rFonts w:ascii="Cambria" w:hAnsi="Cambria"/>
                <w:b/>
                <w:bCs/>
                <w:color w:val="FF0000"/>
                <w:sz w:val="20"/>
                <w:szCs w:val="20"/>
                <w:highlight w:val="yellow"/>
              </w:rPr>
              <w:t>septiembre</w:t>
            </w:r>
            <w:r w:rsidR="00852E78" w:rsidRPr="00D17C41">
              <w:rPr>
                <w:rFonts w:ascii="Cambria" w:hAnsi="Cambria"/>
                <w:b/>
                <w:bCs/>
                <w:color w:val="FF0000"/>
                <w:sz w:val="20"/>
                <w:szCs w:val="20"/>
                <w:highlight w:val="yellow"/>
              </w:rPr>
              <w:t xml:space="preserve"> de 2025</w:t>
            </w:r>
            <w:r>
              <w:rPr>
                <w:rFonts w:ascii="Cambria" w:hAnsi="Cambria"/>
                <w:b/>
                <w:bCs/>
                <w:color w:val="FF0000"/>
                <w:sz w:val="20"/>
                <w:szCs w:val="20"/>
                <w:highlight w:val="yellow"/>
              </w:rPr>
              <w:t>)</w:t>
            </w:r>
            <w:r w:rsidRPr="00D061DD">
              <w:rPr>
                <w:rFonts w:ascii="Cambria" w:hAnsi="Cambria"/>
                <w:b/>
                <w:bCs/>
                <w:sz w:val="20"/>
                <w:szCs w:val="20"/>
                <w:highlight w:val="yellow"/>
              </w:rPr>
              <w:t xml:space="preserve">. </w:t>
            </w:r>
            <w:r w:rsidRPr="00D061DD">
              <w:rPr>
                <w:rFonts w:ascii="Cambria" w:hAnsi="Cambria"/>
                <w:sz w:val="20"/>
                <w:szCs w:val="20"/>
                <w:highlight w:val="yellow"/>
              </w:rPr>
              <w:t>Serán sujetos pasivos y responsables las personas naturales o jurídicas que realicen exportaciones definitivas y/o que vendan hidrocarburos y/o carbón de las partidas arancelarias establecidas en el artículo 513-15 del Estatuto Tributario que en el año inmediatamente anterior hayan obtenido una renta líquida ordinaria igual o superior a 50.000 UVT considerando las rentas agregadas de todos sus vinculados económicos según lo previsto en el artículo 260-1 del Estatuto Tributario.</w:t>
            </w:r>
          </w:p>
          <w:p w:rsidR="00852E78" w:rsidRPr="00D061DD" w:rsidRDefault="00852E78" w:rsidP="00924576">
            <w:pPr>
              <w:jc w:val="both"/>
              <w:rPr>
                <w:rFonts w:ascii="Cambria" w:hAnsi="Cambria"/>
                <w:b/>
                <w:bCs/>
                <w:color w:val="000000" w:themeColor="text1"/>
                <w:sz w:val="20"/>
                <w:szCs w:val="20"/>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t xml:space="preserve">Artículo </w:t>
            </w:r>
            <w:r w:rsidR="00D951FC" w:rsidRPr="00D951FC">
              <w:rPr>
                <w:rFonts w:ascii="Cambria" w:hAnsi="Cambria"/>
                <w:b/>
                <w:bCs/>
                <w:color w:val="000000" w:themeColor="text1"/>
                <w:sz w:val="20"/>
                <w:szCs w:val="20"/>
              </w:rPr>
              <w:t>513-1</w:t>
            </w:r>
            <w:r w:rsidR="00D951FC">
              <w:rPr>
                <w:rFonts w:ascii="Cambria" w:hAnsi="Cambria"/>
                <w:b/>
                <w:bCs/>
                <w:color w:val="000000" w:themeColor="text1"/>
                <w:sz w:val="20"/>
                <w:szCs w:val="20"/>
              </w:rPr>
              <w:t>9</w:t>
            </w:r>
            <w:r w:rsidR="00D951FC" w:rsidRPr="00D951FC">
              <w:rPr>
                <w:rFonts w:ascii="Cambria" w:hAnsi="Cambria"/>
                <w:b/>
                <w:bCs/>
                <w:color w:val="000000" w:themeColor="text1"/>
                <w:sz w:val="20"/>
                <w:szCs w:val="20"/>
              </w:rPr>
              <w:t xml:space="preserve"> (No existía)</w:t>
            </w:r>
          </w:p>
        </w:tc>
        <w:tc>
          <w:tcPr>
            <w:tcW w:w="4865" w:type="dxa"/>
          </w:tcPr>
          <w:p w:rsidR="00D061DD" w:rsidRDefault="00D061DD" w:rsidP="00D061DD">
            <w:pPr>
              <w:pStyle w:val="Default"/>
              <w:jc w:val="both"/>
              <w:rPr>
                <w:rFonts w:ascii="Cambria" w:hAnsi="Cambria"/>
                <w:sz w:val="20"/>
                <w:szCs w:val="20"/>
                <w:highlight w:val="yellow"/>
              </w:rPr>
            </w:pPr>
            <w:r w:rsidRPr="00785971">
              <w:rPr>
                <w:rFonts w:ascii="Cambria" w:hAnsi="Cambria"/>
                <w:b/>
                <w:bCs/>
                <w:sz w:val="20"/>
                <w:szCs w:val="20"/>
                <w:highlight w:val="yellow"/>
              </w:rPr>
              <w:t>Artículo 513-19. Recaudo (</w:t>
            </w:r>
            <w:r w:rsidRPr="00785971">
              <w:rPr>
                <w:rFonts w:ascii="Cambria" w:hAnsi="Cambria"/>
                <w:b/>
                <w:bCs/>
                <w:color w:val="FF0000"/>
                <w:sz w:val="20"/>
                <w:szCs w:val="20"/>
                <w:highlight w:val="yellow"/>
              </w:rPr>
              <w:t>agregado con artículo 28 del proyecto de</w:t>
            </w:r>
            <w:r w:rsidR="00852E78" w:rsidRPr="00D17C41">
              <w:rPr>
                <w:rFonts w:ascii="Cambria" w:hAnsi="Cambria"/>
                <w:b/>
                <w:bCs/>
                <w:color w:val="FF0000"/>
                <w:sz w:val="20"/>
                <w:szCs w:val="20"/>
                <w:highlight w:val="yellow"/>
              </w:rPr>
              <w:t xml:space="preserve"> Ley </w:t>
            </w:r>
            <w:r w:rsidR="00852E78">
              <w:rPr>
                <w:rFonts w:ascii="Cambria" w:hAnsi="Cambria"/>
                <w:b/>
                <w:bCs/>
                <w:color w:val="FF0000"/>
                <w:sz w:val="20"/>
                <w:szCs w:val="20"/>
                <w:highlight w:val="yellow"/>
              </w:rPr>
              <w:t>septiembre</w:t>
            </w:r>
            <w:r w:rsidR="00852E78" w:rsidRPr="00D17C41">
              <w:rPr>
                <w:rFonts w:ascii="Cambria" w:hAnsi="Cambria"/>
                <w:b/>
                <w:bCs/>
                <w:color w:val="FF0000"/>
                <w:sz w:val="20"/>
                <w:szCs w:val="20"/>
                <w:highlight w:val="yellow"/>
              </w:rPr>
              <w:t xml:space="preserve"> de 2025</w:t>
            </w:r>
            <w:r w:rsidRPr="00785971">
              <w:rPr>
                <w:rFonts w:ascii="Cambria" w:hAnsi="Cambria"/>
                <w:b/>
                <w:bCs/>
                <w:sz w:val="20"/>
                <w:szCs w:val="20"/>
                <w:highlight w:val="yellow"/>
              </w:rPr>
              <w:t xml:space="preserve">. </w:t>
            </w:r>
            <w:r w:rsidRPr="00785971">
              <w:rPr>
                <w:rFonts w:ascii="Cambria" w:hAnsi="Cambria"/>
                <w:sz w:val="20"/>
                <w:szCs w:val="20"/>
                <w:highlight w:val="yellow"/>
              </w:rPr>
              <w:t xml:space="preserve">El Impuesto se pagará, así: </w:t>
            </w:r>
          </w:p>
          <w:p w:rsidR="00852E78" w:rsidRPr="00785971" w:rsidRDefault="00852E78" w:rsidP="00D061DD">
            <w:pPr>
              <w:pStyle w:val="Default"/>
              <w:jc w:val="both"/>
              <w:rPr>
                <w:rFonts w:ascii="Cambria" w:hAnsi="Cambria"/>
                <w:sz w:val="20"/>
                <w:szCs w:val="20"/>
                <w:highlight w:val="yellow"/>
              </w:rPr>
            </w:pPr>
          </w:p>
          <w:p w:rsidR="00D061DD" w:rsidRPr="00785971" w:rsidRDefault="00D061DD" w:rsidP="00D061DD">
            <w:pPr>
              <w:pStyle w:val="Default"/>
              <w:jc w:val="both"/>
              <w:rPr>
                <w:rFonts w:ascii="Cambria" w:hAnsi="Cambria"/>
                <w:sz w:val="20"/>
                <w:szCs w:val="20"/>
                <w:highlight w:val="yellow"/>
              </w:rPr>
            </w:pPr>
            <w:r w:rsidRPr="00785971">
              <w:rPr>
                <w:rFonts w:ascii="Cambria" w:hAnsi="Cambria"/>
                <w:sz w:val="20"/>
                <w:szCs w:val="20"/>
                <w:highlight w:val="yellow"/>
              </w:rPr>
              <w:t xml:space="preserve">1. Por la persona natural o jurídica exportadora, a través del Recibo Oficial de Pago o del medio que determine la Unidad Administrativa Especial Dirección de Impuestos y Aduanas Nacionales -DIAN, el cual será documento soporte al momento de la presentación y aceptación de la solicitud de autorización de embarque. El valor pagado debe corresponder al valor del impuesto previsto en este Título que ampara la solitud de autorización de embarque. </w:t>
            </w:r>
          </w:p>
          <w:p w:rsidR="00785971" w:rsidRPr="00785971" w:rsidRDefault="00785971" w:rsidP="00D061DD">
            <w:pPr>
              <w:pStyle w:val="Default"/>
              <w:jc w:val="both"/>
              <w:rPr>
                <w:rFonts w:ascii="Cambria" w:hAnsi="Cambria"/>
                <w:sz w:val="20"/>
                <w:szCs w:val="20"/>
                <w:highlight w:val="yellow"/>
              </w:rPr>
            </w:pPr>
          </w:p>
          <w:p w:rsidR="00D061DD" w:rsidRPr="00785971" w:rsidRDefault="00D061DD" w:rsidP="00D061DD">
            <w:pPr>
              <w:pStyle w:val="Default"/>
              <w:jc w:val="both"/>
              <w:rPr>
                <w:rFonts w:ascii="Cambria" w:hAnsi="Cambria"/>
                <w:sz w:val="20"/>
                <w:szCs w:val="20"/>
                <w:highlight w:val="yellow"/>
              </w:rPr>
            </w:pPr>
            <w:r w:rsidRPr="00785971">
              <w:rPr>
                <w:rFonts w:ascii="Cambria" w:hAnsi="Cambria"/>
                <w:sz w:val="20"/>
                <w:szCs w:val="20"/>
                <w:highlight w:val="yellow"/>
              </w:rPr>
              <w:t xml:space="preserve">2. Por la persona natural o jurídica que realice la venta en o desde el territorio nacional, a través de la declaración y/o del Recibo Oficial de Pago que determine la Unidad Administrativa Especial Dirección de Impuestos y Aduanas Nacionales -DIAN, dentro de los 5 primeros días hábiles de cada mes, consolidando las operaciones de venta del mes anterior. </w:t>
            </w:r>
          </w:p>
          <w:p w:rsidR="00785971" w:rsidRPr="00785971" w:rsidRDefault="00785971" w:rsidP="00D061DD">
            <w:pPr>
              <w:pStyle w:val="Default"/>
              <w:jc w:val="both"/>
              <w:rPr>
                <w:rFonts w:ascii="Cambria" w:hAnsi="Cambria"/>
                <w:b/>
                <w:bCs/>
                <w:sz w:val="20"/>
                <w:szCs w:val="20"/>
                <w:highlight w:val="yellow"/>
              </w:rPr>
            </w:pPr>
          </w:p>
          <w:p w:rsidR="00D061DD" w:rsidRPr="00785971" w:rsidRDefault="00D061DD" w:rsidP="00D061DD">
            <w:pPr>
              <w:pStyle w:val="Default"/>
              <w:jc w:val="both"/>
              <w:rPr>
                <w:rFonts w:ascii="Cambria" w:hAnsi="Cambria"/>
                <w:sz w:val="20"/>
                <w:szCs w:val="20"/>
                <w:highlight w:val="yellow"/>
              </w:rPr>
            </w:pPr>
            <w:r w:rsidRPr="00785971">
              <w:rPr>
                <w:rFonts w:ascii="Cambria" w:hAnsi="Cambria"/>
                <w:b/>
                <w:bCs/>
                <w:sz w:val="20"/>
                <w:szCs w:val="20"/>
                <w:highlight w:val="yellow"/>
              </w:rPr>
              <w:t xml:space="preserve">Parágrafo 1. </w:t>
            </w:r>
            <w:r w:rsidRPr="00785971">
              <w:rPr>
                <w:rFonts w:ascii="Cambria" w:hAnsi="Cambria"/>
                <w:sz w:val="20"/>
                <w:szCs w:val="20"/>
                <w:highlight w:val="yellow"/>
              </w:rPr>
              <w:t xml:space="preserve">Para el caso del numeral 1 de este artículo, cuando la solicitud de autorización de embarque registre datos provisionales, y estos varíen respecto de los consignados en la declaración de exportación con datos definitivos, se procederá a: </w:t>
            </w:r>
          </w:p>
          <w:p w:rsidR="00785971" w:rsidRPr="00785971" w:rsidRDefault="00785971" w:rsidP="00D061DD">
            <w:pPr>
              <w:pStyle w:val="Default"/>
              <w:jc w:val="both"/>
              <w:rPr>
                <w:rFonts w:ascii="Cambria" w:hAnsi="Cambria"/>
                <w:sz w:val="20"/>
                <w:szCs w:val="20"/>
                <w:highlight w:val="yellow"/>
              </w:rPr>
            </w:pPr>
          </w:p>
          <w:p w:rsidR="00D061DD" w:rsidRPr="00785971" w:rsidRDefault="00D061DD" w:rsidP="00D061DD">
            <w:pPr>
              <w:pStyle w:val="Default"/>
              <w:jc w:val="both"/>
              <w:rPr>
                <w:rFonts w:ascii="Cambria" w:hAnsi="Cambria"/>
                <w:sz w:val="20"/>
                <w:szCs w:val="20"/>
                <w:highlight w:val="yellow"/>
              </w:rPr>
            </w:pPr>
            <w:r w:rsidRPr="00785971">
              <w:rPr>
                <w:rFonts w:ascii="Cambria" w:hAnsi="Cambria"/>
                <w:sz w:val="20"/>
                <w:szCs w:val="20"/>
                <w:highlight w:val="yellow"/>
              </w:rPr>
              <w:t xml:space="preserve">1. Liquidar y pagar el impuesto faltante que se genere entre el valor FOB de la declaración de exportación y la solicitud de autorización de embarque, a más tardar dentro de los diez (10) días hábiles siguientes a la presentación de la declaración de exportación con datos definitivos. </w:t>
            </w:r>
          </w:p>
          <w:p w:rsidR="00785971" w:rsidRPr="00785971" w:rsidRDefault="00785971" w:rsidP="00D061DD">
            <w:pPr>
              <w:jc w:val="both"/>
              <w:rPr>
                <w:rFonts w:ascii="Cambria" w:hAnsi="Cambria"/>
                <w:sz w:val="20"/>
                <w:szCs w:val="20"/>
                <w:highlight w:val="yellow"/>
              </w:rPr>
            </w:pPr>
          </w:p>
          <w:p w:rsidR="00924576" w:rsidRDefault="00D061DD" w:rsidP="00D061DD">
            <w:pPr>
              <w:jc w:val="both"/>
              <w:rPr>
                <w:rFonts w:ascii="Cambria" w:hAnsi="Cambria"/>
                <w:sz w:val="20"/>
                <w:szCs w:val="20"/>
                <w:highlight w:val="yellow"/>
              </w:rPr>
            </w:pPr>
            <w:r w:rsidRPr="00785971">
              <w:rPr>
                <w:rFonts w:ascii="Cambria" w:hAnsi="Cambria"/>
                <w:sz w:val="20"/>
                <w:szCs w:val="20"/>
                <w:highlight w:val="yellow"/>
              </w:rPr>
              <w:t>2. Solicitar la devolución del pago en exceso cuando el valor FOB de la declaración de exportación sea inferior al declarado en la solicitud de autorización de embarque, adjuntando los documentos que prueben el hecho, en los términos del artículo 850 del Estatuto Tributario</w:t>
            </w:r>
            <w:r w:rsidR="00852E78">
              <w:rPr>
                <w:rFonts w:ascii="Cambria" w:hAnsi="Cambria"/>
                <w:sz w:val="20"/>
                <w:szCs w:val="20"/>
                <w:highlight w:val="yellow"/>
              </w:rPr>
              <w:t>.</w:t>
            </w:r>
          </w:p>
          <w:p w:rsidR="00852E78" w:rsidRPr="00785971" w:rsidRDefault="00852E78" w:rsidP="00D061DD">
            <w:pPr>
              <w:jc w:val="both"/>
              <w:rPr>
                <w:rFonts w:ascii="Cambria" w:hAnsi="Cambria"/>
                <w:b/>
                <w:bCs/>
                <w:color w:val="000000" w:themeColor="text1"/>
                <w:sz w:val="20"/>
                <w:szCs w:val="20"/>
                <w:highlight w:val="yellow"/>
              </w:rPr>
            </w:pPr>
          </w:p>
        </w:tc>
      </w:tr>
      <w:tr w:rsidR="00924576" w:rsidTr="0059378C">
        <w:tc>
          <w:tcPr>
            <w:tcW w:w="4958" w:type="dxa"/>
          </w:tcPr>
          <w:p w:rsidR="00924576" w:rsidRPr="005F076B" w:rsidRDefault="00D061DD" w:rsidP="00924576">
            <w:pPr>
              <w:jc w:val="both"/>
              <w:rPr>
                <w:rFonts w:ascii="Cambria" w:hAnsi="Cambria"/>
                <w:b/>
                <w:bCs/>
                <w:color w:val="000000" w:themeColor="text1"/>
                <w:sz w:val="20"/>
                <w:szCs w:val="20"/>
              </w:rPr>
            </w:pPr>
            <w:r>
              <w:rPr>
                <w:rFonts w:ascii="Cambria" w:hAnsi="Cambria"/>
                <w:b/>
                <w:bCs/>
                <w:color w:val="000000" w:themeColor="text1"/>
                <w:sz w:val="20"/>
                <w:szCs w:val="20"/>
              </w:rPr>
              <w:lastRenderedPageBreak/>
              <w:t xml:space="preserve">Artículo </w:t>
            </w:r>
            <w:r w:rsidR="00D951FC" w:rsidRPr="00D951FC">
              <w:rPr>
                <w:rFonts w:ascii="Cambria" w:hAnsi="Cambria"/>
                <w:b/>
                <w:bCs/>
                <w:color w:val="000000" w:themeColor="text1"/>
                <w:sz w:val="20"/>
                <w:szCs w:val="20"/>
              </w:rPr>
              <w:t>513-</w:t>
            </w:r>
            <w:r w:rsidR="00D951FC">
              <w:rPr>
                <w:rFonts w:ascii="Cambria" w:hAnsi="Cambria"/>
                <w:b/>
                <w:bCs/>
                <w:color w:val="000000" w:themeColor="text1"/>
                <w:sz w:val="20"/>
                <w:szCs w:val="20"/>
              </w:rPr>
              <w:t>20</w:t>
            </w:r>
            <w:r w:rsidR="00D951FC" w:rsidRPr="00D951FC">
              <w:rPr>
                <w:rFonts w:ascii="Cambria" w:hAnsi="Cambria"/>
                <w:b/>
                <w:bCs/>
                <w:color w:val="000000" w:themeColor="text1"/>
                <w:sz w:val="20"/>
                <w:szCs w:val="20"/>
              </w:rPr>
              <w:t xml:space="preserve"> (No existía)</w:t>
            </w:r>
          </w:p>
        </w:tc>
        <w:tc>
          <w:tcPr>
            <w:tcW w:w="4865" w:type="dxa"/>
          </w:tcPr>
          <w:p w:rsidR="00785971" w:rsidRPr="00785971" w:rsidRDefault="00785971" w:rsidP="00785971">
            <w:pPr>
              <w:pStyle w:val="Default"/>
              <w:jc w:val="both"/>
              <w:rPr>
                <w:rFonts w:ascii="Cambria" w:hAnsi="Cambria"/>
                <w:sz w:val="20"/>
                <w:szCs w:val="20"/>
                <w:highlight w:val="yellow"/>
              </w:rPr>
            </w:pPr>
            <w:r w:rsidRPr="00785971">
              <w:rPr>
                <w:rFonts w:ascii="Cambria" w:hAnsi="Cambria"/>
                <w:b/>
                <w:bCs/>
                <w:sz w:val="20"/>
                <w:szCs w:val="20"/>
                <w:highlight w:val="yellow"/>
              </w:rPr>
              <w:t>Artículo 513-20. Incumplimiento en el pago del impuesto</w:t>
            </w:r>
            <w:r>
              <w:rPr>
                <w:rFonts w:ascii="Cambria" w:hAnsi="Cambria"/>
                <w:b/>
                <w:bCs/>
                <w:sz w:val="20"/>
                <w:szCs w:val="20"/>
                <w:highlight w:val="yellow"/>
              </w:rPr>
              <w:t xml:space="preserve"> (</w:t>
            </w:r>
            <w:r w:rsidRPr="00785971">
              <w:rPr>
                <w:rFonts w:ascii="Cambria" w:hAnsi="Cambria"/>
                <w:b/>
                <w:bCs/>
                <w:color w:val="FF0000"/>
                <w:sz w:val="20"/>
                <w:szCs w:val="20"/>
                <w:highlight w:val="yellow"/>
              </w:rPr>
              <w:t>agregado con artículo 28 del proyecto de</w:t>
            </w:r>
            <w:r w:rsidR="00852E78">
              <w:rPr>
                <w:rFonts w:ascii="Cambria" w:hAnsi="Cambria"/>
                <w:b/>
                <w:bCs/>
                <w:color w:val="FF0000"/>
                <w:sz w:val="20"/>
                <w:szCs w:val="20"/>
                <w:highlight w:val="yellow"/>
              </w:rPr>
              <w:t xml:space="preserve"> </w:t>
            </w:r>
            <w:r w:rsidR="00852E78" w:rsidRPr="00D17C41">
              <w:rPr>
                <w:rFonts w:ascii="Cambria" w:hAnsi="Cambria"/>
                <w:b/>
                <w:bCs/>
                <w:color w:val="FF0000"/>
                <w:sz w:val="20"/>
                <w:szCs w:val="20"/>
                <w:highlight w:val="yellow"/>
              </w:rPr>
              <w:t xml:space="preserve">Ley </w:t>
            </w:r>
            <w:r w:rsidR="00852E78">
              <w:rPr>
                <w:rFonts w:ascii="Cambria" w:hAnsi="Cambria"/>
                <w:b/>
                <w:bCs/>
                <w:color w:val="FF0000"/>
                <w:sz w:val="20"/>
                <w:szCs w:val="20"/>
                <w:highlight w:val="yellow"/>
              </w:rPr>
              <w:t>septiembre</w:t>
            </w:r>
            <w:r w:rsidR="00852E78" w:rsidRPr="00D17C41">
              <w:rPr>
                <w:rFonts w:ascii="Cambria" w:hAnsi="Cambria"/>
                <w:b/>
                <w:bCs/>
                <w:color w:val="FF0000"/>
                <w:sz w:val="20"/>
                <w:szCs w:val="20"/>
                <w:highlight w:val="yellow"/>
              </w:rPr>
              <w:t xml:space="preserve"> de 2025</w:t>
            </w:r>
            <w:r w:rsidRPr="00785971">
              <w:rPr>
                <w:rFonts w:ascii="Cambria" w:hAnsi="Cambria"/>
                <w:b/>
                <w:bCs/>
                <w:color w:val="FF0000"/>
                <w:sz w:val="20"/>
                <w:szCs w:val="20"/>
                <w:highlight w:val="yellow"/>
              </w:rPr>
              <w:t>)</w:t>
            </w:r>
            <w:r w:rsidRPr="00785971">
              <w:rPr>
                <w:rFonts w:ascii="Cambria" w:hAnsi="Cambria"/>
                <w:b/>
                <w:bCs/>
                <w:sz w:val="20"/>
                <w:szCs w:val="20"/>
                <w:highlight w:val="yellow"/>
              </w:rPr>
              <w:t xml:space="preserve">. </w:t>
            </w:r>
            <w:r w:rsidRPr="00785971">
              <w:rPr>
                <w:rFonts w:ascii="Cambria" w:hAnsi="Cambria"/>
                <w:sz w:val="20"/>
                <w:szCs w:val="20"/>
                <w:highlight w:val="yellow"/>
              </w:rPr>
              <w:t xml:space="preserve">Cuando se incumpla total o parcialmente el pago del impuesto, se aplicará las siguientes sanciones: </w:t>
            </w:r>
          </w:p>
          <w:p w:rsidR="00785971" w:rsidRDefault="00785971" w:rsidP="00785971">
            <w:pPr>
              <w:pStyle w:val="Default"/>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1. Cuando el exportador no realice el pago en los términos previsto en el numeral 1 del parágrafo 1 del artículo 513-19 del presente estatuto, la Unidad Administrativa Especial Dirección de Impuestos y Aduanas Nacionales -DIAN sancionará la no presentación del documento soporte del pago de este impuesto de acuerdo con el numeral 2.1. del artículo 31 del Decreto 920 del 2023, o la norma que lo modifique o sustituya, sin perjuicio de la liquidación y pago del valor del impuesto y los intereses a que haya lugar </w:t>
            </w:r>
          </w:p>
          <w:p w:rsidR="00924576" w:rsidRPr="00785971" w:rsidRDefault="00785971" w:rsidP="00785971">
            <w:pPr>
              <w:jc w:val="both"/>
              <w:rPr>
                <w:rFonts w:ascii="Cambria" w:hAnsi="Cambria"/>
                <w:sz w:val="20"/>
                <w:szCs w:val="20"/>
                <w:highlight w:val="yellow"/>
              </w:rPr>
            </w:pPr>
            <w:r w:rsidRPr="00785971">
              <w:rPr>
                <w:rFonts w:ascii="Cambria" w:hAnsi="Cambria"/>
                <w:sz w:val="20"/>
                <w:szCs w:val="20"/>
                <w:highlight w:val="yellow"/>
              </w:rPr>
              <w:t>El pago incompleto de este impuesto dará lugar a la sanción del inciso 2 del numeral 2.1. del artículo 31 del Decreto 920 de 2023, sin perjuicio de la liquidación y pago del valor faltante del impuesto y los intereses a que haya lugar.</w:t>
            </w:r>
          </w:p>
          <w:p w:rsidR="00785971" w:rsidRPr="00785971" w:rsidRDefault="00785971" w:rsidP="00785971">
            <w:pPr>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La Unidad Administrativa Especial Dirección de Impuestos y Aduanas Nacionales -DIAN, a través de las áreas de fiscalización Aduanera, o quien haga sus veces, será la competente para imponer las sanciones y/o la liquidación del impuesto. Cuando se deba expedir la liquidación por el no pago o pago incompleto del impuesto, esta se efectuará a través de resolución independiente, previo requerimiento especial. Para el efecto se aplicará el procedimiento previsto en el artículo 106 y siguientes del Decreto 920 de 2023 o la norma que lo modifique o sustituya, respecto de la </w:t>
            </w:r>
            <w:r w:rsidRPr="00785971">
              <w:rPr>
                <w:rFonts w:ascii="Cambria" w:hAnsi="Cambria"/>
                <w:sz w:val="20"/>
                <w:szCs w:val="20"/>
                <w:highlight w:val="yellow"/>
              </w:rPr>
              <w:lastRenderedPageBreak/>
              <w:t xml:space="preserve">imposición de sanciones. En todo caso, el contenido de la resolución sancionatoria será el previsto en el artículo 115 del Decreto 920 de 2023 o la norma que lo modifique o sustituya, incluyendo, cuando sea el caso, la liquidación del impuesto o su faltante. </w:t>
            </w:r>
          </w:p>
          <w:p w:rsidR="00785971" w:rsidRDefault="00785971" w:rsidP="00785971">
            <w:pPr>
              <w:pStyle w:val="Default"/>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A la sanción a que se refiere el presente parágrafo, le serán aplicables los artículos 23 y 24 del Decreto 920 de 2023 o la norma que lo modifique o sustituya. </w:t>
            </w:r>
          </w:p>
          <w:p w:rsidR="00785971" w:rsidRDefault="00785971" w:rsidP="00785971">
            <w:pPr>
              <w:pStyle w:val="Default"/>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2. Cuando el contribuyente incumpla en la presentación y/o el pago del impuesto, en los términos previstos en el numeral 2 del parágrafo 1 del artículo 513-19 del presente estatuto, la Unidad Administrativa Especial Dirección de Impuestos y Aduanas Nacionales -DIAN lo sancionará, de acuerdo con el numeral 11 del artículo 643 del Estatuto Tributario, es decir el 20% del valor del impuesto que ha debido liquidarse y pagarse. En el evento en el que se presente y pague extemporáneamente o pague un menor valor, aplicarán las sanciones de los artículos 641 y 644 del Estatuto Tributario calculado sobre el valor del impuesto, y liquidando los intereses moratorios a que haya lugar. </w:t>
            </w:r>
          </w:p>
          <w:p w:rsidR="00785971" w:rsidRDefault="00785971" w:rsidP="00785971">
            <w:pPr>
              <w:pStyle w:val="Default"/>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La Unidad Administrativa Especial Dirección de Impuestos y Aduanas Nacionales -DIAN, a través de las áreas de fiscalización Tributaria, o quien haga sus veces, será la competente para imponer las sanciones y/o la liquidación del impuesto. Cuando se deba expedir la liquidación por el no pago o pago incompleto del impuesto, esta se efectuará a través de resolución independiente, previo pliego de cargos. Para el efecto se aplicará el procedimiento previsto en los artículos 637 y 638 del Estatuto Tributario. En todo caso, en la resolución sancionatoria, se incluirá, adicionalmente la liquidación del impuesto o su faltante, cuando haya lugar a ello. En caso de que la DIAN establezca una declaración para la liquidación y pago de este tributo, y se omita la declaración o presente inconsistencias o inexactitudes, se aplica el procedimiento previsto para este fin, incluida las sanciones previstas en este artículo. </w:t>
            </w:r>
          </w:p>
          <w:p w:rsidR="00785971" w:rsidRDefault="00785971" w:rsidP="00785971">
            <w:pPr>
              <w:pStyle w:val="Default"/>
              <w:jc w:val="both"/>
              <w:rPr>
                <w:rFonts w:ascii="Cambria" w:hAnsi="Cambria"/>
                <w:sz w:val="20"/>
                <w:szCs w:val="20"/>
                <w:highlight w:val="yellow"/>
              </w:rPr>
            </w:pPr>
          </w:p>
          <w:p w:rsidR="00785971" w:rsidRPr="00785971" w:rsidRDefault="00785971" w:rsidP="00785971">
            <w:pPr>
              <w:pStyle w:val="Default"/>
              <w:jc w:val="both"/>
              <w:rPr>
                <w:rFonts w:ascii="Cambria" w:hAnsi="Cambria"/>
                <w:sz w:val="20"/>
                <w:szCs w:val="20"/>
                <w:highlight w:val="yellow"/>
              </w:rPr>
            </w:pPr>
            <w:r w:rsidRPr="00785971">
              <w:rPr>
                <w:rFonts w:ascii="Cambria" w:hAnsi="Cambria"/>
                <w:sz w:val="20"/>
                <w:szCs w:val="20"/>
                <w:highlight w:val="yellow"/>
              </w:rPr>
              <w:t xml:space="preserve">Sin perjuicio de lo anterior, el sujeto pasivo o responsable podrá subsanar las inconsistencias de manera voluntaria, antes de que la administración tributaria profiera el pliego de cargos, en cuyo caso las sanciones se reducirán, de acuerdo con el parágrafo 1 del artículo 651 del Estatuto Tributario. Es decir, se reducirán al 10% de lo previsto en los artículos 641 y 644 del Estatuto Tributario, junto con los intereses moratorios. </w:t>
            </w:r>
          </w:p>
          <w:p w:rsidR="00785971" w:rsidRDefault="00785971" w:rsidP="00785971">
            <w:pPr>
              <w:jc w:val="both"/>
              <w:rPr>
                <w:rFonts w:ascii="Cambria" w:hAnsi="Cambria"/>
                <w:sz w:val="20"/>
                <w:szCs w:val="20"/>
                <w:highlight w:val="yellow"/>
              </w:rPr>
            </w:pPr>
          </w:p>
          <w:p w:rsidR="00785971" w:rsidRDefault="00785971" w:rsidP="00785971">
            <w:pPr>
              <w:jc w:val="both"/>
              <w:rPr>
                <w:rFonts w:ascii="Cambria" w:hAnsi="Cambria"/>
                <w:sz w:val="20"/>
                <w:szCs w:val="20"/>
                <w:highlight w:val="yellow"/>
              </w:rPr>
            </w:pPr>
            <w:r w:rsidRPr="00785971">
              <w:rPr>
                <w:rFonts w:ascii="Cambria" w:hAnsi="Cambria"/>
                <w:sz w:val="20"/>
                <w:szCs w:val="20"/>
                <w:highlight w:val="yellow"/>
              </w:rPr>
              <w:lastRenderedPageBreak/>
              <w:t>A la sanción a que se refiere el presente artículo, le será aplicable el artículo 640 del Estatuto Tributario.</w:t>
            </w:r>
          </w:p>
          <w:p w:rsidR="00785971" w:rsidRPr="00785971" w:rsidRDefault="00785971" w:rsidP="00785971">
            <w:pPr>
              <w:jc w:val="both"/>
              <w:rPr>
                <w:rFonts w:ascii="Cambria" w:hAnsi="Cambria"/>
                <w:b/>
                <w:bCs/>
                <w:color w:val="000000" w:themeColor="text1"/>
                <w:sz w:val="20"/>
                <w:szCs w:val="20"/>
                <w:highlight w:val="yellow"/>
              </w:rPr>
            </w:pPr>
          </w:p>
        </w:tc>
      </w:tr>
      <w:tr w:rsidR="0059378C" w:rsidTr="0059378C">
        <w:tc>
          <w:tcPr>
            <w:tcW w:w="4958" w:type="dxa"/>
          </w:tcPr>
          <w:p w:rsidR="0059378C" w:rsidRDefault="0059378C" w:rsidP="0059378C">
            <w:pPr>
              <w:jc w:val="both"/>
              <w:rPr>
                <w:rFonts w:ascii="Cambria" w:hAnsi="Cambria"/>
                <w:color w:val="454545"/>
                <w:sz w:val="20"/>
                <w:szCs w:val="20"/>
              </w:rPr>
            </w:pPr>
            <w:r w:rsidRPr="0059378C">
              <w:rPr>
                <w:rFonts w:ascii="Cambria" w:hAnsi="Cambria"/>
                <w:b/>
                <w:bCs/>
                <w:sz w:val="20"/>
                <w:szCs w:val="20"/>
              </w:rPr>
              <w:lastRenderedPageBreak/>
              <w:t>Artículo 580-1. </w:t>
            </w:r>
            <w:r w:rsidRPr="0059378C">
              <w:rPr>
                <w:rStyle w:val="iaj"/>
                <w:rFonts w:ascii="Cambria" w:hAnsi="Cambria"/>
                <w:b/>
                <w:bCs/>
                <w:color w:val="343536"/>
                <w:spacing w:val="2"/>
                <w:sz w:val="20"/>
                <w:szCs w:val="20"/>
              </w:rPr>
              <w:t>Ineficacia de las declaraciones de retención en la fuente presentadas sin pago tot</w:t>
            </w:r>
            <w:r>
              <w:rPr>
                <w:rStyle w:val="iaj"/>
                <w:rFonts w:ascii="Cambria" w:hAnsi="Cambria"/>
                <w:b/>
                <w:bCs/>
                <w:color w:val="343536"/>
                <w:spacing w:val="2"/>
                <w:sz w:val="20"/>
                <w:szCs w:val="20"/>
              </w:rPr>
              <w:t>al</w:t>
            </w:r>
            <w:r w:rsidRPr="0059378C">
              <w:rPr>
                <w:rStyle w:val="iaj"/>
                <w:rFonts w:ascii="Cambria" w:hAnsi="Cambria"/>
                <w:b/>
                <w:bCs/>
                <w:i/>
                <w:iCs/>
                <w:color w:val="343536"/>
                <w:spacing w:val="2"/>
                <w:sz w:val="20"/>
                <w:szCs w:val="20"/>
              </w:rPr>
              <w:t>.</w:t>
            </w:r>
            <w:r w:rsidRPr="0059378C">
              <w:rPr>
                <w:rFonts w:ascii="Cambria" w:hAnsi="Cambria"/>
                <w:sz w:val="20"/>
                <w:szCs w:val="20"/>
              </w:rPr>
              <w:t>  Las declaraciones de retención en la fuente presentadas sin pago total no producirán efecto legal alguno, sin necesidad de acto administrativo que así lo declare.</w:t>
            </w:r>
          </w:p>
          <w:p w:rsid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281C2B" w:rsidRPr="0059378C" w:rsidRDefault="00281C2B" w:rsidP="0059378C">
            <w:pPr>
              <w:jc w:val="both"/>
              <w:rPr>
                <w:rFonts w:ascii="Cambria" w:hAnsi="Cambria"/>
                <w:color w:val="454545"/>
                <w:sz w:val="20"/>
                <w:szCs w:val="20"/>
              </w:rPr>
            </w:pPr>
          </w:p>
          <w:p w:rsidR="0059378C" w:rsidRDefault="0059378C" w:rsidP="0059378C">
            <w:pPr>
              <w:jc w:val="both"/>
              <w:rPr>
                <w:rFonts w:ascii="Cambria" w:hAnsi="Cambria"/>
                <w:color w:val="454545"/>
                <w:sz w:val="20"/>
                <w:szCs w:val="20"/>
              </w:rPr>
            </w:pPr>
            <w:r w:rsidRPr="0059378C">
              <w:rPr>
                <w:rFonts w:ascii="Cambria" w:hAnsi="Cambria"/>
                <w:sz w:val="20"/>
                <w:szCs w:val="20"/>
              </w:rPr>
              <w:t>Lo señalado en el inciso anterior no se aplicará cuando la declaración de retención en la fuente se presente sin pago por parte de un agente retenedor que sea titular de un saldo a favor igual o superior a dos veces el valor de la retención a cargo, susceptible de compensar con el saldo a pagar de la respectiva declaración de retención en la fuente. Para tal efecto el saldo a favor debe haberse generado antes de la presentación de la declaración de retención en la fuente por un valor igual o superior al saldo a pagar determinado en dicha declaración.</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sz w:val="20"/>
                <w:szCs w:val="20"/>
              </w:rPr>
            </w:pPr>
            <w:r w:rsidRPr="0059378C">
              <w:rPr>
                <w:rFonts w:ascii="Cambria" w:hAnsi="Cambria"/>
                <w:sz w:val="20"/>
                <w:szCs w:val="20"/>
              </w:rPr>
              <w:t>El agente retenedor deberá solicitar a la Dirección de Impuestos y Aduanas Nacionales la compensación del saldo a favor con el saldo a pagar determinado en la declaración de retención, dentro de los seis meses (6) siguientes a la presentación de la respectiva declaración de retención en la fuente.</w:t>
            </w:r>
          </w:p>
          <w:p w:rsidR="0059378C" w:rsidRPr="0059378C" w:rsidRDefault="0059378C" w:rsidP="0059378C">
            <w:pPr>
              <w:jc w:val="both"/>
              <w:rPr>
                <w:rFonts w:ascii="Cambria" w:hAnsi="Cambria"/>
                <w:sz w:val="20"/>
                <w:szCs w:val="20"/>
              </w:rPr>
            </w:pPr>
          </w:p>
          <w:p w:rsidR="0059378C" w:rsidRPr="0059378C" w:rsidRDefault="0059378C" w:rsidP="0059378C">
            <w:pPr>
              <w:jc w:val="both"/>
              <w:rPr>
                <w:rFonts w:ascii="Cambria" w:hAnsi="Cambria"/>
                <w:sz w:val="20"/>
                <w:szCs w:val="20"/>
              </w:rPr>
            </w:pPr>
            <w:r w:rsidRPr="0059378C">
              <w:rPr>
                <w:rFonts w:ascii="Cambria" w:hAnsi="Cambria"/>
                <w:sz w:val="20"/>
                <w:szCs w:val="20"/>
              </w:rPr>
              <w:t>Cuando el agente retenedor no solicite la compensación del saldo a favor oportunamente o cuando la solicitud sea rechazada la declaración de retención en la fuente presentada sin pago no producirá efecto legal alguno, sin necesidad de acto administrativo que así lo declare.</w:t>
            </w: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color w:val="454545"/>
                <w:sz w:val="20"/>
                <w:szCs w:val="20"/>
              </w:rPr>
            </w:pPr>
            <w:r w:rsidRPr="0059378C">
              <w:rPr>
                <w:rFonts w:ascii="Cambria" w:hAnsi="Cambria"/>
                <w:sz w:val="20"/>
                <w:szCs w:val="20"/>
              </w:rPr>
              <w:t xml:space="preserve">La declaración de retención en la fuente que se haya presentado sin pago total antes del vencimiento del plazo para declarar producirá efectos legales, siempre y cuando el pago total de la retención se efectúe o se haya efectuado a más tardar dentro de los dos (2) meses siguientes contados a partir de la fecha del vencimiento del plazo para declarar. Lo anterior sin perjuicio de la liquidación de los intereses moratorios a que haya lugar. En todo caso, mientras el contribuyente no presente nuevamente la declaración de retención en la fuente con el pago respectivo, la declaración inicialmente presentada se entiende como documento que reconoce una obligación clara, expresa y exigible que podrá ser utilizado por la Administración Tributaria en los procesos de cobro coactivo, </w:t>
            </w:r>
            <w:proofErr w:type="spellStart"/>
            <w:r w:rsidRPr="0059378C">
              <w:rPr>
                <w:rFonts w:ascii="Cambria" w:hAnsi="Cambria"/>
                <w:sz w:val="20"/>
                <w:szCs w:val="20"/>
              </w:rPr>
              <w:t>aún</w:t>
            </w:r>
            <w:proofErr w:type="spellEnd"/>
            <w:r w:rsidRPr="0059378C">
              <w:rPr>
                <w:rFonts w:ascii="Cambria" w:hAnsi="Cambria"/>
                <w:sz w:val="20"/>
                <w:szCs w:val="20"/>
              </w:rPr>
              <w:t xml:space="preserve"> cuando en el sistema la declaración tenga una marca de ineficaz para el agente retenedor bajo los presupuestos establecidos en este artículo.</w:t>
            </w:r>
          </w:p>
          <w:p w:rsidR="0059378C" w:rsidRDefault="0059378C" w:rsidP="0059378C">
            <w:pPr>
              <w:jc w:val="both"/>
              <w:rPr>
                <w:rFonts w:ascii="Cambria" w:hAnsi="Cambria"/>
                <w:color w:val="454545"/>
                <w:sz w:val="20"/>
                <w:szCs w:val="20"/>
              </w:rPr>
            </w:pPr>
          </w:p>
          <w:p w:rsidR="0059378C" w:rsidRDefault="0059378C" w:rsidP="0059378C">
            <w:pPr>
              <w:jc w:val="both"/>
              <w:rPr>
                <w:rFonts w:ascii="Cambria" w:hAnsi="Cambria"/>
                <w:color w:val="454545"/>
                <w:sz w:val="20"/>
                <w:szCs w:val="20"/>
              </w:rPr>
            </w:pPr>
            <w:r w:rsidRPr="0059378C">
              <w:rPr>
                <w:rFonts w:ascii="Cambria" w:hAnsi="Cambria"/>
                <w:sz w:val="20"/>
                <w:szCs w:val="20"/>
              </w:rPr>
              <w:t>Las declaraciones diligenciadas a través de los servicios informáticos electrónicos de la Dirección de Impuestos y Aduanas Nacionales DIAN, que no se presentaron ante las entidades autorizadas para recaudar, se tendrán como presentadas siempre que haya ingresado a la administración tributaria un recibo oficial de pago atribuible a los conceptos y periodos gravables contenidos en dichas declaraciones.</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Fonts w:ascii="Cambria" w:hAnsi="Cambria"/>
                <w:sz w:val="20"/>
                <w:szCs w:val="20"/>
              </w:rPr>
              <w:t>La Dirección de Impuestos y Aduanas Nacionales DIAN, para dar cumplimiento a lo establecido por el presente artículo, verificará que el número asignado a la declaración diligenciada virtualmente corresponda al número de formulario que se incluyó en el recibo oficial de pago.</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Fonts w:ascii="Cambria" w:hAnsi="Cambria"/>
                <w:sz w:val="20"/>
                <w:szCs w:val="20"/>
              </w:rPr>
              <w:t>Lo anterior, sin perjuicio de la aplicación de los literales b) y c) y &lt;sic&gt; del artículo </w:t>
            </w:r>
            <w:r w:rsidRPr="0059378C">
              <w:rPr>
                <w:rFonts w:ascii="Cambria" w:hAnsi="Cambria"/>
                <w:spacing w:val="2"/>
                <w:sz w:val="20"/>
                <w:szCs w:val="20"/>
              </w:rPr>
              <w:t>580</w:t>
            </w:r>
            <w:r w:rsidRPr="0059378C">
              <w:rPr>
                <w:rFonts w:ascii="Cambria" w:hAnsi="Cambria"/>
                <w:sz w:val="20"/>
                <w:szCs w:val="20"/>
              </w:rPr>
              <w:t> del Estatuto Tributario.</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1o.</w:t>
            </w:r>
            <w:r w:rsidRPr="0059378C">
              <w:rPr>
                <w:rFonts w:ascii="Cambria" w:hAnsi="Cambria"/>
                <w:sz w:val="20"/>
                <w:szCs w:val="20"/>
              </w:rPr>
              <w:t>  Lo dispuesto en el inciso sexto del presente artículo aplicará únicamente para las declaraciones del impuesto sobre la renta de personas naturales que hayan sido diligenciadas virtualmente, correspondientes a los años gravables </w:t>
            </w:r>
            <w:r w:rsidRPr="0059378C">
              <w:rPr>
                <w:rFonts w:ascii="Cambria" w:hAnsi="Cambria"/>
                <w:spacing w:val="2"/>
                <w:sz w:val="20"/>
                <w:szCs w:val="20"/>
              </w:rPr>
              <w:t>2006</w:t>
            </w:r>
            <w:r w:rsidRPr="0059378C">
              <w:rPr>
                <w:rFonts w:ascii="Cambria" w:hAnsi="Cambria"/>
                <w:sz w:val="20"/>
                <w:szCs w:val="20"/>
              </w:rPr>
              <w:t> a </w:t>
            </w:r>
            <w:r w:rsidRPr="0059378C">
              <w:rPr>
                <w:rFonts w:ascii="Cambria" w:hAnsi="Cambria"/>
                <w:spacing w:val="2"/>
                <w:sz w:val="20"/>
                <w:szCs w:val="20"/>
              </w:rPr>
              <w:t>2015</w:t>
            </w:r>
            <w:r w:rsidRPr="0059378C">
              <w:rPr>
                <w:rFonts w:ascii="Cambria" w:hAnsi="Cambria"/>
                <w:sz w:val="20"/>
                <w:szCs w:val="20"/>
              </w:rPr>
              <w:t>.</w:t>
            </w:r>
            <w:r w:rsidRPr="0059378C">
              <w:rPr>
                <w:rFonts w:ascii="Cambria" w:hAnsi="Cambria"/>
                <w:color w:val="454545"/>
                <w:sz w:val="20"/>
                <w:szCs w:val="20"/>
              </w:rPr>
              <w:t xml:space="preserve"> </w:t>
            </w:r>
          </w:p>
          <w:p w:rsidR="0059378C" w:rsidRPr="0059378C" w:rsidRDefault="0059378C" w:rsidP="0059378C">
            <w:pPr>
              <w:jc w:val="both"/>
              <w:rPr>
                <w:rFonts w:ascii="Cambria" w:hAnsi="Cambria"/>
                <w:color w:val="454545"/>
                <w:sz w:val="20"/>
                <w:szCs w:val="20"/>
              </w:rPr>
            </w:pP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2.</w:t>
            </w:r>
            <w:r w:rsidRPr="0059378C">
              <w:rPr>
                <w:rFonts w:ascii="Cambria" w:hAnsi="Cambria"/>
                <w:sz w:val="20"/>
                <w:szCs w:val="20"/>
              </w:rPr>
              <w:t>  Los efectos del presente artículo no son aplicables si el contribuyente, responsable o agente retenedor presentó declaración por medio litográfico para el concepto y periodo gravable correspondiente a la declaración diligenciada virtualmente no presentada en los bancos. De igual forma, si los valores consignados en el recibo oficial de pago fueron devueltos o compensados por solicitud del contribuyente o responsable.</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sz w:val="20"/>
                <w:szCs w:val="20"/>
              </w:rPr>
            </w:pPr>
            <w:r w:rsidRPr="0059378C">
              <w:rPr>
                <w:rStyle w:val="baj"/>
                <w:rFonts w:ascii="Cambria" w:hAnsi="Cambria"/>
                <w:b/>
                <w:bCs/>
                <w:color w:val="343536"/>
                <w:spacing w:val="2"/>
                <w:sz w:val="20"/>
                <w:szCs w:val="20"/>
              </w:rPr>
              <w:t>PARÁGRAFO 3o.</w:t>
            </w:r>
            <w:r w:rsidRPr="0059378C">
              <w:rPr>
                <w:rFonts w:ascii="Cambria" w:hAnsi="Cambria"/>
                <w:sz w:val="20"/>
                <w:szCs w:val="20"/>
              </w:rPr>
              <w:t>  La declaración de retención en la fuente que se haya presentado sin pago total producirá efectos legales, siempre y cuando el valor dejado de pagar no supere diez (10) UVT y este se cancele a más tardar dentro del año uno (1) siguiente contado a partir de la fecha de vencimiento del plazo para declarar. Lo anterior, sin perjuicio de la liquidación de los intereses moratorios a que haya lugar.</w:t>
            </w: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TRANSITORIO.</w:t>
            </w:r>
            <w:r w:rsidRPr="0059378C">
              <w:rPr>
                <w:rFonts w:ascii="Cambria" w:hAnsi="Cambria"/>
                <w:sz w:val="20"/>
                <w:szCs w:val="20"/>
              </w:rPr>
              <w:t> &lt;Parágrafo derogado por el artículo </w:t>
            </w:r>
            <w:r w:rsidRPr="0059378C">
              <w:rPr>
                <w:rFonts w:ascii="Cambria" w:hAnsi="Cambria"/>
                <w:spacing w:val="2"/>
                <w:sz w:val="20"/>
                <w:szCs w:val="20"/>
              </w:rPr>
              <w:t>376</w:t>
            </w:r>
            <w:r w:rsidRPr="0059378C">
              <w:rPr>
                <w:rFonts w:ascii="Cambria" w:hAnsi="Cambria"/>
                <w:sz w:val="20"/>
                <w:szCs w:val="20"/>
              </w:rPr>
              <w:t> de la Ley 1819 de 2016&gt;</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Pr="0059378C" w:rsidRDefault="0059378C" w:rsidP="0059378C">
            <w:pPr>
              <w:jc w:val="both"/>
              <w:rPr>
                <w:rFonts w:ascii="Cambria" w:hAnsi="Cambria"/>
                <w:sz w:val="20"/>
                <w:szCs w:val="20"/>
              </w:rPr>
            </w:pPr>
            <w:r w:rsidRPr="0059378C">
              <w:rPr>
                <w:rStyle w:val="baj"/>
                <w:rFonts w:ascii="Cambria" w:hAnsi="Cambria"/>
                <w:b/>
                <w:bCs/>
                <w:color w:val="343536"/>
                <w:spacing w:val="2"/>
                <w:sz w:val="20"/>
                <w:szCs w:val="20"/>
              </w:rPr>
              <w:t>PARÁGRAFO TRANSITORIO 2o.</w:t>
            </w:r>
            <w:r w:rsidRPr="0059378C">
              <w:rPr>
                <w:rFonts w:ascii="Cambria" w:hAnsi="Cambria"/>
                <w:sz w:val="20"/>
                <w:szCs w:val="20"/>
              </w:rPr>
              <w:t>  La declaración de retención en la fuente que se haya presentado sin pago total y a la fecha de expedición de la presente ley se encuentre ineficaz, y el valor por pagar sea igual o inferior a diez (10) UVT; podrá subsanar su ineficacia, cancelado el valor total adeudado más los intereses moratorios a que haya lugar, a más tardar al treinta (30) de junio de 2023.</w:t>
            </w:r>
          </w:p>
          <w:p w:rsidR="0059378C" w:rsidRPr="0059378C" w:rsidRDefault="0059378C" w:rsidP="0059378C">
            <w:pPr>
              <w:jc w:val="both"/>
              <w:rPr>
                <w:rFonts w:ascii="Cambria" w:hAnsi="Cambria"/>
                <w:b/>
                <w:bCs/>
                <w:color w:val="000000" w:themeColor="text1"/>
                <w:sz w:val="20"/>
                <w:szCs w:val="20"/>
              </w:rPr>
            </w:pPr>
          </w:p>
        </w:tc>
        <w:tc>
          <w:tcPr>
            <w:tcW w:w="4865" w:type="dxa"/>
          </w:tcPr>
          <w:p w:rsidR="0059378C" w:rsidRDefault="0059378C" w:rsidP="0059378C">
            <w:pPr>
              <w:jc w:val="both"/>
              <w:rPr>
                <w:rFonts w:ascii="Cambria" w:hAnsi="Cambria"/>
                <w:color w:val="454545"/>
                <w:sz w:val="20"/>
                <w:szCs w:val="20"/>
              </w:rPr>
            </w:pPr>
            <w:r w:rsidRPr="0059378C">
              <w:rPr>
                <w:rFonts w:ascii="Cambria" w:hAnsi="Cambria"/>
                <w:b/>
                <w:bCs/>
                <w:sz w:val="20"/>
                <w:szCs w:val="20"/>
              </w:rPr>
              <w:lastRenderedPageBreak/>
              <w:t>Artículo 580-1. </w:t>
            </w:r>
            <w:r w:rsidRPr="0059378C">
              <w:rPr>
                <w:rStyle w:val="iaj"/>
                <w:rFonts w:ascii="Cambria" w:hAnsi="Cambria"/>
                <w:b/>
                <w:bCs/>
                <w:color w:val="343536"/>
                <w:spacing w:val="2"/>
                <w:sz w:val="20"/>
                <w:szCs w:val="20"/>
              </w:rPr>
              <w:t>Ineficacia de las declaraciones de retención en la fuente presentadas sin pago tot</w:t>
            </w:r>
            <w:r>
              <w:rPr>
                <w:rStyle w:val="iaj"/>
                <w:rFonts w:ascii="Cambria" w:hAnsi="Cambria"/>
                <w:b/>
                <w:bCs/>
                <w:color w:val="343536"/>
                <w:spacing w:val="2"/>
                <w:sz w:val="20"/>
                <w:szCs w:val="20"/>
              </w:rPr>
              <w:t>al</w:t>
            </w:r>
            <w:r w:rsidR="00281C2B">
              <w:rPr>
                <w:rStyle w:val="iaj"/>
                <w:rFonts w:ascii="Cambria" w:hAnsi="Cambria"/>
                <w:b/>
                <w:bCs/>
                <w:color w:val="343536"/>
                <w:spacing w:val="2"/>
                <w:sz w:val="20"/>
                <w:szCs w:val="20"/>
              </w:rPr>
              <w:t xml:space="preserve"> </w:t>
            </w:r>
            <w:r w:rsidR="00281C2B" w:rsidRPr="00281C2B">
              <w:rPr>
                <w:rStyle w:val="iaj"/>
                <w:rFonts w:ascii="Cambria" w:hAnsi="Cambria"/>
                <w:b/>
                <w:bCs/>
                <w:color w:val="FF0000"/>
                <w:spacing w:val="2"/>
                <w:sz w:val="20"/>
                <w:szCs w:val="20"/>
              </w:rPr>
              <w:t>(modificado con artículo 78 proyecto de</w:t>
            </w:r>
            <w:r w:rsidR="00852E78">
              <w:rPr>
                <w:rStyle w:val="iaj"/>
                <w:rFonts w:ascii="Cambria" w:hAnsi="Cambria"/>
                <w:b/>
                <w:bCs/>
                <w:color w:val="FF0000"/>
                <w:spacing w:val="2"/>
                <w:sz w:val="20"/>
                <w:szCs w:val="20"/>
              </w:rPr>
              <w:t xml:space="preserve"> </w:t>
            </w:r>
            <w:r w:rsidR="00852E78" w:rsidRPr="00852E78">
              <w:rPr>
                <w:rFonts w:ascii="Cambria" w:hAnsi="Cambria"/>
                <w:b/>
                <w:bCs/>
                <w:color w:val="FF0000"/>
                <w:sz w:val="20"/>
                <w:szCs w:val="20"/>
              </w:rPr>
              <w:t>Ley septiembre de 2025</w:t>
            </w:r>
            <w:r w:rsidRPr="00281C2B">
              <w:rPr>
                <w:rStyle w:val="iaj"/>
                <w:rFonts w:ascii="Cambria" w:hAnsi="Cambria"/>
                <w:b/>
                <w:bCs/>
                <w:i/>
                <w:iCs/>
                <w:color w:val="FF0000"/>
                <w:spacing w:val="2"/>
                <w:sz w:val="20"/>
                <w:szCs w:val="20"/>
              </w:rPr>
              <w:t>.</w:t>
            </w:r>
            <w:r w:rsidRPr="00281C2B">
              <w:rPr>
                <w:rFonts w:ascii="Cambria" w:hAnsi="Cambria"/>
                <w:color w:val="FF0000"/>
                <w:sz w:val="20"/>
                <w:szCs w:val="20"/>
              </w:rPr>
              <w:t xml:space="preserve">  </w:t>
            </w:r>
            <w:r w:rsidRPr="0059378C">
              <w:rPr>
                <w:rFonts w:ascii="Cambria" w:hAnsi="Cambria"/>
                <w:sz w:val="20"/>
                <w:szCs w:val="20"/>
              </w:rPr>
              <w:t>Las declaraciones de retención en la fuente presentadas sin pago total no producirán efecto legal alguno, sin necesidad de acto administrativo que así lo declare.</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Fonts w:ascii="Cambria" w:hAnsi="Cambria"/>
                <w:sz w:val="20"/>
                <w:szCs w:val="20"/>
              </w:rPr>
              <w:t>Lo señalado en el inciso anterior no se aplicará cuando la declaración de retención en la fuente se presente sin pago por parte de un agente retenedor que sea titular de un saldo a favor igual o superior a dos veces el valor de la retención a cargo, susceptible de compensar con el saldo a pagar de la respectiva declaración de retención en la fuente. Para tal efecto el saldo a favor debe haberse generado antes de la presentación de la declaración de retención en la fuente por un valor igual o superior al saldo a pagar determinado en dicha declaración.</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sz w:val="20"/>
                <w:szCs w:val="20"/>
              </w:rPr>
            </w:pPr>
            <w:r w:rsidRPr="0059378C">
              <w:rPr>
                <w:rFonts w:ascii="Cambria" w:hAnsi="Cambria"/>
                <w:sz w:val="20"/>
                <w:szCs w:val="20"/>
              </w:rPr>
              <w:t>El agente retenedor deberá solicitar a la Dirección de Impuestos y Aduanas Nacionales la compensación del saldo a favor con el saldo a pagar determinado en la declaración de retención, dentro de los seis meses (6) siguientes a la presentación de la respectiva declaración de retención en la fuente.</w:t>
            </w:r>
          </w:p>
          <w:p w:rsidR="0059378C" w:rsidRPr="0059378C" w:rsidRDefault="0059378C" w:rsidP="0059378C">
            <w:pPr>
              <w:jc w:val="both"/>
              <w:rPr>
                <w:rFonts w:ascii="Cambria" w:hAnsi="Cambria"/>
                <w:sz w:val="20"/>
                <w:szCs w:val="20"/>
              </w:rPr>
            </w:pPr>
          </w:p>
          <w:p w:rsidR="0059378C" w:rsidRDefault="0059378C" w:rsidP="0059378C">
            <w:pPr>
              <w:jc w:val="both"/>
              <w:rPr>
                <w:rFonts w:ascii="Cambria" w:hAnsi="Cambria"/>
                <w:sz w:val="20"/>
                <w:szCs w:val="20"/>
              </w:rPr>
            </w:pPr>
            <w:r w:rsidRPr="0059378C">
              <w:rPr>
                <w:rFonts w:ascii="Cambria" w:hAnsi="Cambria"/>
                <w:sz w:val="20"/>
                <w:szCs w:val="20"/>
              </w:rPr>
              <w:t>Cuando el agente retenedor no solicite la compensación del saldo a favor oportunamente o cuando la solicitud sea rechazada la declaración de retención en la fuente presentada sin pago no producirá efecto legal alguno, sin necesidad de acto administrativo que así lo declare.</w:t>
            </w:r>
          </w:p>
          <w:p w:rsidR="0059378C" w:rsidRPr="0059378C" w:rsidRDefault="0059378C" w:rsidP="0059378C">
            <w:pPr>
              <w:jc w:val="both"/>
              <w:rPr>
                <w:rFonts w:ascii="Cambria" w:hAnsi="Cambria"/>
                <w:sz w:val="20"/>
                <w:szCs w:val="20"/>
              </w:rPr>
            </w:pPr>
          </w:p>
          <w:p w:rsidR="0059378C" w:rsidRDefault="0059378C" w:rsidP="0059378C">
            <w:pPr>
              <w:jc w:val="both"/>
              <w:rPr>
                <w:rFonts w:ascii="Cambria" w:hAnsi="Cambria"/>
                <w:color w:val="454545"/>
                <w:sz w:val="20"/>
                <w:szCs w:val="20"/>
              </w:rPr>
            </w:pPr>
            <w:r w:rsidRPr="0059378C">
              <w:rPr>
                <w:rFonts w:ascii="Cambria" w:hAnsi="Cambria"/>
                <w:sz w:val="20"/>
                <w:szCs w:val="20"/>
              </w:rPr>
              <w:t xml:space="preserve">La declaración de retención en la fuente que se haya presentado sin pago total antes del vencimiento del plazo para declarar producirá efectos legales, siempre y cuando el pago total de la retención se efectúe o se haya efectuado a más tardar dentro de los dos (2) meses siguientes contados a partir de la fecha del vencimiento del plazo para declarar. Lo anterior sin perjuicio de la liquidación de los intereses moratorios a que haya lugar. En todo caso, mientras el contribuyente no presente nuevamente la declaración de retención en la fuente con el pago respectivo, la declaración inicialmente presentada se entiende como documento que reconoce una obligación clara, expresa y exigible que podrá ser utilizado por la Administración Tributaria en los procesos de cobro coactivo, </w:t>
            </w:r>
            <w:proofErr w:type="spellStart"/>
            <w:r w:rsidRPr="0059378C">
              <w:rPr>
                <w:rFonts w:ascii="Cambria" w:hAnsi="Cambria"/>
                <w:sz w:val="20"/>
                <w:szCs w:val="20"/>
              </w:rPr>
              <w:t>aún</w:t>
            </w:r>
            <w:proofErr w:type="spellEnd"/>
            <w:r w:rsidRPr="0059378C">
              <w:rPr>
                <w:rFonts w:ascii="Cambria" w:hAnsi="Cambria"/>
                <w:sz w:val="20"/>
                <w:szCs w:val="20"/>
              </w:rPr>
              <w:t xml:space="preserve"> cuando en el sistema la declaración tenga una marca de </w:t>
            </w:r>
            <w:r w:rsidRPr="0059378C">
              <w:rPr>
                <w:rFonts w:ascii="Cambria" w:hAnsi="Cambria"/>
                <w:sz w:val="20"/>
                <w:szCs w:val="20"/>
              </w:rPr>
              <w:lastRenderedPageBreak/>
              <w:t>ineficaz para el agente retenedor bajo los presupuestos establecidos en este artículo.</w:t>
            </w:r>
          </w:p>
          <w:p w:rsidR="0059378C" w:rsidRDefault="0059378C" w:rsidP="0059378C">
            <w:pPr>
              <w:jc w:val="both"/>
              <w:rPr>
                <w:rFonts w:ascii="Cambria" w:hAnsi="Cambria"/>
                <w:color w:val="454545"/>
                <w:sz w:val="20"/>
                <w:szCs w:val="20"/>
              </w:rPr>
            </w:pPr>
          </w:p>
          <w:p w:rsidR="0059378C" w:rsidRDefault="0059378C" w:rsidP="0059378C">
            <w:pPr>
              <w:jc w:val="both"/>
              <w:rPr>
                <w:rFonts w:ascii="Cambria" w:hAnsi="Cambria"/>
                <w:color w:val="454545"/>
                <w:sz w:val="20"/>
                <w:szCs w:val="20"/>
              </w:rPr>
            </w:pPr>
            <w:r w:rsidRPr="0059378C">
              <w:rPr>
                <w:rFonts w:ascii="Cambria" w:hAnsi="Cambria"/>
                <w:sz w:val="20"/>
                <w:szCs w:val="20"/>
              </w:rPr>
              <w:t>Las declaraciones diligenciadas a través de los servicios informáticos electrónicos de la Dirección de Impuestos y Aduanas Nacionales DIAN, que no se presentaron ante las entidades autorizadas para recaudar, se tendrán como presentadas siempre que haya ingresado a la administración tributaria un recibo oficial de pago atribuible a los conceptos y periodos gravables contenidos en dichas declaraciones.</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Fonts w:ascii="Cambria" w:hAnsi="Cambria"/>
                <w:sz w:val="20"/>
                <w:szCs w:val="20"/>
              </w:rPr>
              <w:t>La Dirección de Impuestos y Aduanas Nacionales DIAN, para dar cumplimiento a lo establecido por el presente artículo, verificará que el número asignado a la declaración diligenciada virtualmente corresponda al número de formulario que se incluyó en el recibo oficial de pago.</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Fonts w:ascii="Cambria" w:hAnsi="Cambria"/>
                <w:sz w:val="20"/>
                <w:szCs w:val="20"/>
              </w:rPr>
              <w:t>Lo anterior, sin perjuicio de la aplicación de los literales b) y c) y &lt;sic&gt; del artículo </w:t>
            </w:r>
            <w:r w:rsidRPr="0059378C">
              <w:rPr>
                <w:rFonts w:ascii="Cambria" w:hAnsi="Cambria"/>
                <w:spacing w:val="2"/>
                <w:sz w:val="20"/>
                <w:szCs w:val="20"/>
              </w:rPr>
              <w:t>580</w:t>
            </w:r>
            <w:r w:rsidRPr="0059378C">
              <w:rPr>
                <w:rFonts w:ascii="Cambria" w:hAnsi="Cambria"/>
                <w:sz w:val="20"/>
                <w:szCs w:val="20"/>
              </w:rPr>
              <w:t> del Estatuto Tributario.</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1o.</w:t>
            </w:r>
            <w:r w:rsidRPr="0059378C">
              <w:rPr>
                <w:rFonts w:ascii="Cambria" w:hAnsi="Cambria"/>
                <w:sz w:val="20"/>
                <w:szCs w:val="20"/>
              </w:rPr>
              <w:t>  Lo dispuesto en el inciso sexto del presente artículo aplicará únicamente para las declaraciones del impuesto sobre la renta de personas naturales que hayan sido diligenciadas virtualmente, correspondientes a los años gravables </w:t>
            </w:r>
            <w:r w:rsidRPr="0059378C">
              <w:rPr>
                <w:rFonts w:ascii="Cambria" w:hAnsi="Cambria"/>
                <w:spacing w:val="2"/>
                <w:sz w:val="20"/>
                <w:szCs w:val="20"/>
              </w:rPr>
              <w:t>2006</w:t>
            </w:r>
            <w:r w:rsidRPr="0059378C">
              <w:rPr>
                <w:rFonts w:ascii="Cambria" w:hAnsi="Cambria"/>
                <w:sz w:val="20"/>
                <w:szCs w:val="20"/>
              </w:rPr>
              <w:t> a </w:t>
            </w:r>
            <w:r w:rsidRPr="0059378C">
              <w:rPr>
                <w:rFonts w:ascii="Cambria" w:hAnsi="Cambria"/>
                <w:spacing w:val="2"/>
                <w:sz w:val="20"/>
                <w:szCs w:val="20"/>
              </w:rPr>
              <w:t>2015</w:t>
            </w:r>
            <w:r w:rsidRPr="0059378C">
              <w:rPr>
                <w:rFonts w:ascii="Cambria" w:hAnsi="Cambria"/>
                <w:sz w:val="20"/>
                <w:szCs w:val="20"/>
              </w:rPr>
              <w:t>.</w:t>
            </w:r>
            <w:r w:rsidRPr="0059378C">
              <w:rPr>
                <w:rFonts w:ascii="Cambria" w:hAnsi="Cambria"/>
                <w:color w:val="454545"/>
                <w:sz w:val="20"/>
                <w:szCs w:val="20"/>
              </w:rPr>
              <w:t xml:space="preserve"> </w:t>
            </w:r>
          </w:p>
          <w:p w:rsidR="0059378C" w:rsidRPr="0059378C" w:rsidRDefault="0059378C" w:rsidP="0059378C">
            <w:pPr>
              <w:jc w:val="both"/>
              <w:rPr>
                <w:rFonts w:ascii="Cambria" w:hAnsi="Cambria"/>
                <w:color w:val="454545"/>
                <w:sz w:val="20"/>
                <w:szCs w:val="20"/>
              </w:rPr>
            </w:pP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2.</w:t>
            </w:r>
            <w:r w:rsidRPr="0059378C">
              <w:rPr>
                <w:rFonts w:ascii="Cambria" w:hAnsi="Cambria"/>
                <w:sz w:val="20"/>
                <w:szCs w:val="20"/>
              </w:rPr>
              <w:t>  Los efectos del presente artículo no son aplicables si el contribuyente, responsable o agente retenedor presentó declaración por medio litográfico para el concepto y periodo gravable correspondiente a la declaración diligenciada virtualmente no presentada en los bancos. De igual forma, si los valores consignados en el recibo oficial de pago fueron devueltos o compensados por solicitud del contribuyente o responsable.</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sz w:val="20"/>
                <w:szCs w:val="20"/>
              </w:rPr>
            </w:pPr>
            <w:r w:rsidRPr="0059378C">
              <w:rPr>
                <w:rStyle w:val="baj"/>
                <w:rFonts w:ascii="Cambria" w:hAnsi="Cambria"/>
                <w:b/>
                <w:bCs/>
                <w:color w:val="343536"/>
                <w:spacing w:val="2"/>
                <w:sz w:val="20"/>
                <w:szCs w:val="20"/>
              </w:rPr>
              <w:t>PARÁGRAFO 3o.</w:t>
            </w:r>
            <w:r w:rsidRPr="0059378C">
              <w:rPr>
                <w:rFonts w:ascii="Cambria" w:hAnsi="Cambria"/>
                <w:sz w:val="20"/>
                <w:szCs w:val="20"/>
              </w:rPr>
              <w:t>  La declaración de retención en la fuente que se haya presentado sin pago total producirá efectos legales, siempre y cuando el valor dejado de pagar no supere diez (10) UVT y este se cancele a más tardar dentro del año uno (1) siguiente contado a partir de la fecha de vencimiento del plazo para declarar. Lo anterior, sin perjuicio de la liquidación de los intereses moratorios a que haya lugar.</w:t>
            </w:r>
          </w:p>
          <w:p w:rsidR="0059378C" w:rsidRDefault="0059378C" w:rsidP="0059378C">
            <w:pPr>
              <w:jc w:val="both"/>
              <w:rPr>
                <w:rFonts w:ascii="Cambria" w:hAnsi="Cambria"/>
                <w:sz w:val="20"/>
                <w:szCs w:val="20"/>
              </w:rPr>
            </w:pPr>
          </w:p>
          <w:p w:rsidR="0059378C" w:rsidRPr="0059378C" w:rsidRDefault="0059378C" w:rsidP="0059378C">
            <w:pPr>
              <w:jc w:val="both"/>
              <w:rPr>
                <w:rFonts w:ascii="Cambria" w:hAnsi="Cambria"/>
                <w:sz w:val="20"/>
                <w:szCs w:val="20"/>
                <w:highlight w:val="yellow"/>
              </w:rPr>
            </w:pPr>
            <w:r w:rsidRPr="0059378C">
              <w:rPr>
                <w:rFonts w:ascii="Cambria" w:hAnsi="Cambria"/>
                <w:b/>
                <w:bCs/>
                <w:sz w:val="20"/>
                <w:szCs w:val="20"/>
                <w:highlight w:val="yellow"/>
              </w:rPr>
              <w:t xml:space="preserve">Parágrafo 4. </w:t>
            </w:r>
            <w:r w:rsidRPr="0059378C">
              <w:rPr>
                <w:rFonts w:ascii="Cambria" w:hAnsi="Cambria"/>
                <w:sz w:val="20"/>
                <w:szCs w:val="20"/>
                <w:highlight w:val="yellow"/>
              </w:rPr>
              <w:t xml:space="preserve">A partir de la vigencia de la presente ley, las declaraciones de retención en la fuente presentadas sin pago total o parcial producirán efectos legales. </w:t>
            </w:r>
          </w:p>
          <w:p w:rsidR="0059378C" w:rsidRDefault="0059378C" w:rsidP="0059378C">
            <w:pPr>
              <w:jc w:val="both"/>
              <w:rPr>
                <w:rFonts w:ascii="Cambria" w:hAnsi="Cambria"/>
                <w:sz w:val="20"/>
                <w:szCs w:val="20"/>
                <w:highlight w:val="yellow"/>
              </w:rPr>
            </w:pPr>
          </w:p>
          <w:p w:rsidR="0059378C" w:rsidRPr="0059378C" w:rsidRDefault="0059378C" w:rsidP="0059378C">
            <w:pPr>
              <w:jc w:val="both"/>
              <w:rPr>
                <w:rFonts w:ascii="Cambria" w:hAnsi="Cambria"/>
                <w:sz w:val="20"/>
                <w:szCs w:val="20"/>
                <w:highlight w:val="yellow"/>
              </w:rPr>
            </w:pPr>
            <w:r w:rsidRPr="0059378C">
              <w:rPr>
                <w:rFonts w:ascii="Cambria" w:hAnsi="Cambria"/>
                <w:sz w:val="20"/>
                <w:szCs w:val="20"/>
                <w:highlight w:val="yellow"/>
              </w:rPr>
              <w:t xml:space="preserve">Las declaraciones de retención en la fuente, que se presentaron antes de la vigencia de esta ley sobre las cuales haya operado la ineficacia, el agente retenedor </w:t>
            </w:r>
            <w:r w:rsidRPr="0059378C">
              <w:rPr>
                <w:rFonts w:ascii="Cambria" w:hAnsi="Cambria"/>
                <w:sz w:val="20"/>
                <w:szCs w:val="20"/>
                <w:highlight w:val="yellow"/>
              </w:rPr>
              <w:lastRenderedPageBreak/>
              <w:t xml:space="preserve">la deberá presentar a más tardar al 31 de marzo de 2026, liquidando y pagando la retención correspondiente junto con la sanción reducida al quince por ciento (15%), sin que se requiera liquidar y pagar los intereses de mora. </w:t>
            </w:r>
          </w:p>
          <w:p w:rsidR="0059378C" w:rsidRDefault="0059378C" w:rsidP="0059378C">
            <w:pPr>
              <w:jc w:val="both"/>
              <w:rPr>
                <w:rFonts w:ascii="Cambria" w:hAnsi="Cambria"/>
                <w:sz w:val="20"/>
                <w:szCs w:val="20"/>
                <w:highlight w:val="yellow"/>
              </w:rPr>
            </w:pPr>
          </w:p>
          <w:p w:rsidR="0059378C" w:rsidRDefault="0059378C" w:rsidP="0059378C">
            <w:pPr>
              <w:jc w:val="both"/>
              <w:rPr>
                <w:rFonts w:ascii="Cambria" w:hAnsi="Cambria"/>
                <w:sz w:val="20"/>
                <w:szCs w:val="20"/>
              </w:rPr>
            </w:pPr>
            <w:r w:rsidRPr="0059378C">
              <w:rPr>
                <w:rFonts w:ascii="Cambria" w:hAnsi="Cambria"/>
                <w:sz w:val="20"/>
                <w:szCs w:val="20"/>
                <w:highlight w:val="yellow"/>
              </w:rPr>
              <w:t>Si vencido este plazo, el agente retenedor no subsana la ineficacia, se aplica lo previsto en este artículo 580-1 del ET antes de esta adicción.</w:t>
            </w:r>
            <w:r w:rsidRPr="0059378C">
              <w:rPr>
                <w:rFonts w:ascii="Cambria" w:hAnsi="Cambria"/>
                <w:sz w:val="20"/>
                <w:szCs w:val="20"/>
              </w:rPr>
              <w:t xml:space="preserve"> </w:t>
            </w:r>
          </w:p>
          <w:p w:rsidR="0059378C" w:rsidRPr="0059378C" w:rsidRDefault="0059378C" w:rsidP="0059378C">
            <w:pPr>
              <w:jc w:val="both"/>
              <w:rPr>
                <w:rFonts w:ascii="Cambria" w:hAnsi="Cambria"/>
                <w:sz w:val="20"/>
                <w:szCs w:val="20"/>
              </w:rPr>
            </w:pPr>
          </w:p>
          <w:p w:rsidR="0059378C" w:rsidRDefault="0059378C" w:rsidP="0059378C">
            <w:pPr>
              <w:jc w:val="both"/>
              <w:rPr>
                <w:rFonts w:ascii="Cambria" w:hAnsi="Cambria"/>
                <w:color w:val="454545"/>
                <w:sz w:val="20"/>
                <w:szCs w:val="20"/>
              </w:rPr>
            </w:pPr>
            <w:r w:rsidRPr="0059378C">
              <w:rPr>
                <w:rStyle w:val="baj"/>
                <w:rFonts w:ascii="Cambria" w:hAnsi="Cambria"/>
                <w:b/>
                <w:bCs/>
                <w:color w:val="343536"/>
                <w:spacing w:val="2"/>
                <w:sz w:val="20"/>
                <w:szCs w:val="20"/>
              </w:rPr>
              <w:t>PARÁGRAFO TRANSITORIO.</w:t>
            </w:r>
            <w:r w:rsidRPr="0059378C">
              <w:rPr>
                <w:rFonts w:ascii="Cambria" w:hAnsi="Cambria"/>
                <w:sz w:val="20"/>
                <w:szCs w:val="20"/>
              </w:rPr>
              <w:t> &lt;Parágrafo derogado por el artículo </w:t>
            </w:r>
            <w:r w:rsidRPr="0059378C">
              <w:rPr>
                <w:rFonts w:ascii="Cambria" w:hAnsi="Cambria"/>
                <w:spacing w:val="2"/>
                <w:sz w:val="20"/>
                <w:szCs w:val="20"/>
              </w:rPr>
              <w:t>376</w:t>
            </w:r>
            <w:r w:rsidRPr="0059378C">
              <w:rPr>
                <w:rFonts w:ascii="Cambria" w:hAnsi="Cambria"/>
                <w:sz w:val="20"/>
                <w:szCs w:val="20"/>
              </w:rPr>
              <w:t> de la Ley 1819 de 2016&gt;</w:t>
            </w:r>
          </w:p>
          <w:p w:rsidR="0059378C" w:rsidRPr="0059378C" w:rsidRDefault="0059378C" w:rsidP="0059378C">
            <w:pPr>
              <w:jc w:val="both"/>
              <w:rPr>
                <w:rFonts w:ascii="Cambria" w:hAnsi="Cambria"/>
                <w:color w:val="454545"/>
                <w:sz w:val="20"/>
                <w:szCs w:val="20"/>
              </w:rPr>
            </w:pPr>
            <w:r w:rsidRPr="0059378C">
              <w:rPr>
                <w:rFonts w:ascii="Cambria" w:hAnsi="Cambria"/>
                <w:color w:val="454545"/>
                <w:sz w:val="20"/>
                <w:szCs w:val="20"/>
              </w:rPr>
              <w:t xml:space="preserve"> </w:t>
            </w:r>
          </w:p>
          <w:p w:rsidR="0059378C" w:rsidRDefault="0059378C" w:rsidP="0059378C">
            <w:pPr>
              <w:jc w:val="both"/>
              <w:rPr>
                <w:rFonts w:ascii="Cambria" w:hAnsi="Cambria"/>
                <w:sz w:val="20"/>
                <w:szCs w:val="20"/>
              </w:rPr>
            </w:pPr>
            <w:r w:rsidRPr="0059378C">
              <w:rPr>
                <w:rStyle w:val="baj"/>
                <w:rFonts w:ascii="Cambria" w:hAnsi="Cambria"/>
                <w:b/>
                <w:bCs/>
                <w:color w:val="343536"/>
                <w:spacing w:val="2"/>
                <w:sz w:val="20"/>
                <w:szCs w:val="20"/>
              </w:rPr>
              <w:t>PARÁGRAFO TRANSITORIO 2o.</w:t>
            </w:r>
            <w:r w:rsidRPr="0059378C">
              <w:rPr>
                <w:rFonts w:ascii="Cambria" w:hAnsi="Cambria"/>
                <w:sz w:val="20"/>
                <w:szCs w:val="20"/>
              </w:rPr>
              <w:t>  La declaración de retención en la fuente que se haya presentado sin pago total y a la fecha de expedición de la presente ley se encuentre ineficaz, y el valor por pagar sea igual o inferior a diez (10) UVT; podrá subsanar su ineficacia, cancelado el valor total adeudado más los intereses moratorios a que haya lugar, a más tardar al treinta (30) de junio de 2023.</w:t>
            </w:r>
          </w:p>
          <w:p w:rsidR="0059378C" w:rsidRDefault="0059378C" w:rsidP="0059378C">
            <w:pPr>
              <w:jc w:val="both"/>
              <w:rPr>
                <w:rFonts w:ascii="Cambria" w:hAnsi="Cambria"/>
                <w:sz w:val="20"/>
                <w:szCs w:val="20"/>
              </w:rPr>
            </w:pPr>
          </w:p>
          <w:p w:rsidR="0059378C" w:rsidRPr="0059378C" w:rsidRDefault="0059378C" w:rsidP="0059378C">
            <w:pPr>
              <w:jc w:val="both"/>
              <w:rPr>
                <w:rFonts w:ascii="Cambria" w:hAnsi="Cambria"/>
                <w:sz w:val="20"/>
                <w:szCs w:val="20"/>
              </w:rPr>
            </w:pPr>
          </w:p>
          <w:p w:rsidR="0059378C" w:rsidRPr="0059378C" w:rsidRDefault="0059378C" w:rsidP="0059378C">
            <w:pPr>
              <w:jc w:val="both"/>
              <w:rPr>
                <w:rFonts w:ascii="Cambria" w:hAnsi="Cambria"/>
                <w:b/>
                <w:bCs/>
                <w:color w:val="000000" w:themeColor="text1"/>
                <w:sz w:val="20"/>
                <w:szCs w:val="20"/>
              </w:rPr>
            </w:pPr>
          </w:p>
        </w:tc>
      </w:tr>
      <w:tr w:rsidR="00281C2B" w:rsidTr="0059378C">
        <w:tc>
          <w:tcPr>
            <w:tcW w:w="4958" w:type="dxa"/>
          </w:tcPr>
          <w:p w:rsidR="00281C2B" w:rsidRDefault="00281C2B" w:rsidP="00281C2B">
            <w:pPr>
              <w:jc w:val="both"/>
              <w:rPr>
                <w:rFonts w:ascii="Cambria" w:hAnsi="Cambria"/>
                <w:color w:val="454545"/>
                <w:sz w:val="20"/>
                <w:szCs w:val="20"/>
              </w:rPr>
            </w:pPr>
            <w:bookmarkStart w:id="31" w:name="588"/>
            <w:r w:rsidRPr="00281C2B">
              <w:rPr>
                <w:rFonts w:ascii="Cambria" w:hAnsi="Cambria"/>
                <w:b/>
                <w:bCs/>
                <w:color w:val="000000" w:themeColor="text1"/>
                <w:sz w:val="20"/>
                <w:szCs w:val="20"/>
              </w:rPr>
              <w:lastRenderedPageBreak/>
              <w:t>Articulo 588. Correcciones que aumentan el impuesto o disminuyen el saldo a favor</w:t>
            </w:r>
            <w:r w:rsidRPr="00281C2B">
              <w:rPr>
                <w:rFonts w:ascii="Cambria" w:hAnsi="Cambria"/>
                <w:color w:val="00A9E0"/>
                <w:sz w:val="20"/>
                <w:szCs w:val="20"/>
                <w:u w:val="single"/>
              </w:rPr>
              <w:t>.</w:t>
            </w:r>
            <w:bookmarkEnd w:id="31"/>
            <w:r w:rsidRPr="00281C2B">
              <w:rPr>
                <w:rFonts w:ascii="Cambria" w:hAnsi="Cambria"/>
                <w:sz w:val="20"/>
                <w:szCs w:val="20"/>
              </w:rPr>
              <w:t>  Sin perjuicio de lo dispuesto en los artículos </w:t>
            </w:r>
            <w:r w:rsidRPr="00281C2B">
              <w:rPr>
                <w:rFonts w:ascii="Cambria" w:hAnsi="Cambria"/>
                <w:spacing w:val="2"/>
                <w:sz w:val="20"/>
                <w:szCs w:val="20"/>
              </w:rPr>
              <w:t>709</w:t>
            </w:r>
            <w:r w:rsidRPr="00281C2B">
              <w:rPr>
                <w:rFonts w:ascii="Cambria" w:hAnsi="Cambria"/>
                <w:sz w:val="20"/>
                <w:szCs w:val="20"/>
              </w:rPr>
              <w:t> y </w:t>
            </w:r>
            <w:r w:rsidRPr="00281C2B">
              <w:rPr>
                <w:rFonts w:ascii="Cambria" w:hAnsi="Cambria"/>
                <w:spacing w:val="2"/>
                <w:sz w:val="20"/>
                <w:szCs w:val="20"/>
              </w:rPr>
              <w:t>713</w:t>
            </w:r>
            <w:r w:rsidRPr="00281C2B">
              <w:rPr>
                <w:rFonts w:ascii="Cambria" w:hAnsi="Cambria"/>
                <w:sz w:val="20"/>
                <w:szCs w:val="20"/>
              </w:rPr>
              <w:t xml:space="preserve"> del Estatuto Tributario, los contribuyentes, responsables o agentes retenedores, podrán corregir sus declaraciones tributarias dentro </w:t>
            </w:r>
            <w:r w:rsidRPr="00281C2B">
              <w:rPr>
                <w:rFonts w:ascii="Cambria" w:hAnsi="Cambria"/>
                <w:sz w:val="20"/>
                <w:szCs w:val="20"/>
                <w:highlight w:val="yellow"/>
              </w:rPr>
              <w:t>de los tres (3) años siguientes al vencimiento del plazo para declarar</w:t>
            </w:r>
            <w:r w:rsidRPr="00281C2B">
              <w:rPr>
                <w:rFonts w:ascii="Cambria" w:hAnsi="Cambria"/>
                <w:sz w:val="20"/>
                <w:szCs w:val="20"/>
              </w:rPr>
              <w:t xml:space="preserve"> y antes de que se les haya notificado requerimiento especial o pliego de cargos, en relación con la declaración tributaria que se corrige, y se liquide la correspondiente sanción por corrección.</w:t>
            </w:r>
          </w:p>
          <w:p w:rsidR="00281C2B" w:rsidRDefault="00281C2B" w:rsidP="00281C2B">
            <w:pPr>
              <w:jc w:val="both"/>
              <w:rPr>
                <w:rFonts w:ascii="Cambria" w:hAnsi="Cambria"/>
                <w:color w:val="454545"/>
                <w:sz w:val="20"/>
                <w:szCs w:val="20"/>
              </w:rPr>
            </w:pPr>
            <w:r w:rsidRPr="00281C2B">
              <w:rPr>
                <w:rFonts w:ascii="Cambria" w:hAnsi="Cambria"/>
                <w:color w:val="454545"/>
                <w:sz w:val="20"/>
                <w:szCs w:val="20"/>
              </w:rPr>
              <w:t xml:space="preserve"> </w:t>
            </w:r>
          </w:p>
          <w:p w:rsidR="00281C2B" w:rsidRPr="00281C2B" w:rsidRDefault="00281C2B" w:rsidP="00281C2B">
            <w:pPr>
              <w:jc w:val="both"/>
              <w:rPr>
                <w:rFonts w:ascii="Cambria" w:hAnsi="Cambria"/>
                <w:color w:val="454545"/>
                <w:sz w:val="20"/>
                <w:szCs w:val="20"/>
              </w:rPr>
            </w:pPr>
          </w:p>
          <w:p w:rsidR="00281C2B" w:rsidRDefault="00281C2B" w:rsidP="00281C2B">
            <w:pPr>
              <w:jc w:val="both"/>
              <w:rPr>
                <w:rFonts w:ascii="Cambria" w:hAnsi="Cambria"/>
                <w:color w:val="454545"/>
                <w:sz w:val="20"/>
                <w:szCs w:val="20"/>
              </w:rPr>
            </w:pPr>
            <w:r w:rsidRPr="00281C2B">
              <w:rPr>
                <w:rFonts w:ascii="Cambria" w:hAnsi="Cambria"/>
                <w:sz w:val="20"/>
                <w:szCs w:val="20"/>
              </w:rPr>
              <w:t>Toda declaración que el contribuyente, responsable, agente retenedor o declarante, presente con posterioridad a la declaración inicial, será considerada como una corrección a la declaración inicial o a la última corrección presentada, según el caso.</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t xml:space="preserve"> </w:t>
            </w:r>
          </w:p>
          <w:p w:rsidR="00281C2B" w:rsidRDefault="00281C2B" w:rsidP="00281C2B">
            <w:pPr>
              <w:jc w:val="both"/>
              <w:rPr>
                <w:rFonts w:ascii="Cambria" w:hAnsi="Cambria"/>
                <w:color w:val="454545"/>
                <w:sz w:val="20"/>
                <w:szCs w:val="20"/>
              </w:rPr>
            </w:pPr>
            <w:r w:rsidRPr="00281C2B">
              <w:rPr>
                <w:rFonts w:ascii="Cambria" w:hAnsi="Cambria"/>
                <w:sz w:val="20"/>
                <w:szCs w:val="20"/>
              </w:rPr>
              <w:t>Cuando el mayor valor a pagar, o el menor saldo a favor, obedezca a la rectificación de un error que proviene de diferencias de criterio o de apreciación entre las oficinas de impuestos y el declarante, relativas a la interpretación del derecho aplicable, siempre que los hechos que consten en la declaración objeto de corrección sean completos y verdaderos, no se aplicará la sanción de corrección. Para tal efecto, el contribuyente procederá a corregir, siguiendo el procedimiento previsto en el artículo siguiente y explicando las razones en que se fundamenta.</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lastRenderedPageBreak/>
              <w:t xml:space="preserve"> </w:t>
            </w:r>
          </w:p>
          <w:p w:rsidR="00281C2B" w:rsidRDefault="00281C2B" w:rsidP="00281C2B">
            <w:pPr>
              <w:jc w:val="both"/>
              <w:rPr>
                <w:rFonts w:ascii="Cambria" w:hAnsi="Cambria"/>
                <w:color w:val="454545"/>
                <w:sz w:val="20"/>
                <w:szCs w:val="20"/>
              </w:rPr>
            </w:pPr>
            <w:r w:rsidRPr="00281C2B">
              <w:rPr>
                <w:rFonts w:ascii="Cambria" w:hAnsi="Cambria"/>
                <w:sz w:val="20"/>
                <w:szCs w:val="20"/>
              </w:rPr>
              <w:t>La corrección prevista en este artículo también procede cuando no se varíe el valor a pagar o el saldo a favor. En este caso no será necesario liquidar sanción por corrección.</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t xml:space="preserve"> </w:t>
            </w:r>
          </w:p>
          <w:p w:rsidR="00281C2B" w:rsidRPr="00281C2B" w:rsidRDefault="00281C2B" w:rsidP="00281C2B">
            <w:pPr>
              <w:jc w:val="both"/>
              <w:rPr>
                <w:rFonts w:ascii="Cambria" w:hAnsi="Cambria"/>
                <w:color w:val="454545"/>
                <w:sz w:val="20"/>
                <w:szCs w:val="20"/>
              </w:rPr>
            </w:pPr>
            <w:r w:rsidRPr="00281C2B">
              <w:rPr>
                <w:rStyle w:val="baj"/>
                <w:rFonts w:ascii="Cambria" w:hAnsi="Cambria"/>
                <w:b/>
                <w:bCs/>
                <w:color w:val="343536"/>
                <w:spacing w:val="2"/>
                <w:sz w:val="20"/>
                <w:szCs w:val="20"/>
              </w:rPr>
              <w:t>PARAGRAFO.</w:t>
            </w:r>
            <w:r w:rsidRPr="00281C2B">
              <w:rPr>
                <w:rFonts w:ascii="Cambria" w:hAnsi="Cambria"/>
                <w:sz w:val="20"/>
                <w:szCs w:val="20"/>
              </w:rPr>
              <w:t>  En los casos previstos en el presente artículo, el contribuyente, retenedor o responsable podrá corregir válidamente, sus declaraciones tributarias, aunque se encuentre vencido el término previsto en este artículo, cuando se realice en el término de respuesta al pliego de cargos o al emplazamiento para corregir.</w:t>
            </w:r>
            <w:r w:rsidRPr="00281C2B">
              <w:rPr>
                <w:rFonts w:ascii="Cambria" w:hAnsi="Cambria"/>
                <w:color w:val="454545"/>
                <w:sz w:val="20"/>
                <w:szCs w:val="20"/>
              </w:rPr>
              <w:t xml:space="preserve"> </w:t>
            </w:r>
          </w:p>
          <w:p w:rsidR="00281C2B" w:rsidRDefault="00281C2B" w:rsidP="00281C2B">
            <w:pPr>
              <w:jc w:val="both"/>
              <w:rPr>
                <w:rStyle w:val="baj"/>
                <w:rFonts w:ascii="Cambria" w:hAnsi="Cambria"/>
                <w:b/>
                <w:bCs/>
                <w:color w:val="343536"/>
                <w:spacing w:val="2"/>
                <w:sz w:val="20"/>
                <w:szCs w:val="20"/>
              </w:rPr>
            </w:pPr>
          </w:p>
          <w:p w:rsidR="00281C2B" w:rsidRPr="00281C2B" w:rsidRDefault="00281C2B" w:rsidP="00281C2B">
            <w:pPr>
              <w:jc w:val="both"/>
              <w:rPr>
                <w:rFonts w:ascii="Cambria" w:hAnsi="Cambria"/>
                <w:sz w:val="20"/>
                <w:szCs w:val="20"/>
              </w:rPr>
            </w:pPr>
            <w:r w:rsidRPr="00281C2B">
              <w:rPr>
                <w:rStyle w:val="baj"/>
                <w:rFonts w:ascii="Cambria" w:hAnsi="Cambria"/>
                <w:b/>
                <w:bCs/>
                <w:color w:val="343536"/>
                <w:spacing w:val="2"/>
                <w:sz w:val="20"/>
                <w:szCs w:val="20"/>
              </w:rPr>
              <w:t>PARAGRAFO 2o.</w:t>
            </w:r>
            <w:r w:rsidRPr="00281C2B">
              <w:rPr>
                <w:rFonts w:ascii="Cambria" w:hAnsi="Cambria"/>
                <w:sz w:val="20"/>
                <w:szCs w:val="20"/>
              </w:rPr>
              <w:t>  Las inconsistencias a que se refieren los literales a), b) y d) del artículo </w:t>
            </w:r>
            <w:r w:rsidRPr="00281C2B">
              <w:rPr>
                <w:rFonts w:ascii="Cambria" w:hAnsi="Cambria"/>
                <w:spacing w:val="2"/>
                <w:sz w:val="20"/>
                <w:szCs w:val="20"/>
              </w:rPr>
              <w:t>580</w:t>
            </w:r>
            <w:r w:rsidRPr="00281C2B">
              <w:rPr>
                <w:rFonts w:ascii="Cambria" w:hAnsi="Cambria"/>
                <w:sz w:val="20"/>
                <w:szCs w:val="20"/>
              </w:rPr>
              <w:t>, </w:t>
            </w:r>
            <w:r w:rsidRPr="00281C2B">
              <w:rPr>
                <w:rFonts w:ascii="Cambria" w:hAnsi="Cambria"/>
                <w:spacing w:val="2"/>
                <w:sz w:val="20"/>
                <w:szCs w:val="20"/>
              </w:rPr>
              <w:t>650-1</w:t>
            </w:r>
            <w:r w:rsidRPr="00281C2B">
              <w:rPr>
                <w:rFonts w:ascii="Cambria" w:hAnsi="Cambria"/>
                <w:sz w:val="20"/>
                <w:szCs w:val="20"/>
              </w:rPr>
              <w:t> y </w:t>
            </w:r>
            <w:r w:rsidRPr="00281C2B">
              <w:rPr>
                <w:rFonts w:ascii="Cambria" w:hAnsi="Cambria"/>
                <w:spacing w:val="2"/>
                <w:sz w:val="20"/>
                <w:szCs w:val="20"/>
              </w:rPr>
              <w:t>650-2</w:t>
            </w:r>
            <w:r w:rsidRPr="00281C2B">
              <w:rPr>
                <w:rFonts w:ascii="Cambria" w:hAnsi="Cambria"/>
                <w:sz w:val="20"/>
                <w:szCs w:val="20"/>
              </w:rPr>
              <w:t> del Estatuto Tributario siempre y cuando no se haya notificado sanción por no declarar, podrán corregirse mediante el procedimiento previsto en el presente artículo, liquidando una sanción equivalente al 2% de la sanción de que trata el artículo </w:t>
            </w:r>
            <w:r w:rsidRPr="00281C2B">
              <w:rPr>
                <w:rFonts w:ascii="Cambria" w:hAnsi="Cambria"/>
                <w:spacing w:val="2"/>
                <w:sz w:val="20"/>
                <w:szCs w:val="20"/>
              </w:rPr>
              <w:t>641</w:t>
            </w:r>
            <w:r w:rsidRPr="00281C2B">
              <w:rPr>
                <w:rFonts w:ascii="Cambria" w:hAnsi="Cambria"/>
                <w:sz w:val="20"/>
                <w:szCs w:val="20"/>
              </w:rPr>
              <w:t> del Estatuto Tributario, sin que exceda de 1.300 UVT.</w:t>
            </w:r>
          </w:p>
          <w:p w:rsidR="00281C2B" w:rsidRPr="00281C2B" w:rsidRDefault="00281C2B" w:rsidP="00281C2B">
            <w:pPr>
              <w:jc w:val="both"/>
              <w:rPr>
                <w:rFonts w:ascii="Cambria" w:hAnsi="Cambria"/>
                <w:color w:val="454545"/>
                <w:sz w:val="20"/>
                <w:szCs w:val="20"/>
              </w:rPr>
            </w:pPr>
          </w:p>
          <w:p w:rsidR="00281C2B" w:rsidRPr="00281C2B" w:rsidRDefault="00281C2B" w:rsidP="00281C2B">
            <w:pPr>
              <w:jc w:val="both"/>
              <w:rPr>
                <w:rFonts w:ascii="Cambria" w:hAnsi="Cambria"/>
                <w:b/>
                <w:bCs/>
                <w:color w:val="000000" w:themeColor="text1"/>
                <w:sz w:val="20"/>
                <w:szCs w:val="20"/>
              </w:rPr>
            </w:pPr>
          </w:p>
        </w:tc>
        <w:tc>
          <w:tcPr>
            <w:tcW w:w="4865" w:type="dxa"/>
          </w:tcPr>
          <w:p w:rsidR="00281C2B" w:rsidRPr="00281C2B" w:rsidRDefault="00281C2B" w:rsidP="00281C2B">
            <w:pPr>
              <w:jc w:val="both"/>
              <w:rPr>
                <w:rFonts w:ascii="Cambria" w:hAnsi="Cambria"/>
                <w:color w:val="454545"/>
                <w:sz w:val="20"/>
                <w:szCs w:val="20"/>
              </w:rPr>
            </w:pPr>
            <w:r w:rsidRPr="00281C2B">
              <w:rPr>
                <w:rFonts w:ascii="Cambria" w:hAnsi="Cambria"/>
                <w:b/>
                <w:bCs/>
                <w:color w:val="000000" w:themeColor="text1"/>
                <w:sz w:val="20"/>
                <w:szCs w:val="20"/>
              </w:rPr>
              <w:lastRenderedPageBreak/>
              <w:t>Articulo 588. Correcciones que aumentan el impuesto o disminuyen el saldo a favor</w:t>
            </w:r>
            <w:r>
              <w:rPr>
                <w:rFonts w:ascii="Cambria" w:hAnsi="Cambria"/>
                <w:b/>
                <w:bCs/>
                <w:color w:val="000000" w:themeColor="text1"/>
                <w:sz w:val="20"/>
                <w:szCs w:val="20"/>
              </w:rPr>
              <w:t xml:space="preserve"> </w:t>
            </w:r>
            <w:r w:rsidRPr="00281C2B">
              <w:rPr>
                <w:rStyle w:val="iaj"/>
                <w:rFonts w:ascii="Cambria" w:hAnsi="Cambria"/>
                <w:b/>
                <w:bCs/>
                <w:color w:val="FF0000"/>
                <w:spacing w:val="2"/>
                <w:sz w:val="20"/>
                <w:szCs w:val="20"/>
              </w:rPr>
              <w:t>(modificado con artículo 7</w:t>
            </w:r>
            <w:r>
              <w:rPr>
                <w:rStyle w:val="iaj"/>
                <w:rFonts w:ascii="Cambria" w:hAnsi="Cambria"/>
                <w:b/>
                <w:bCs/>
                <w:color w:val="FF0000"/>
                <w:spacing w:val="2"/>
                <w:sz w:val="20"/>
                <w:szCs w:val="20"/>
              </w:rPr>
              <w:t>0</w:t>
            </w:r>
            <w:r w:rsidRPr="00281C2B">
              <w:rPr>
                <w:rStyle w:val="iaj"/>
                <w:rFonts w:ascii="Cambria" w:hAnsi="Cambria"/>
                <w:b/>
                <w:bCs/>
                <w:color w:val="FF0000"/>
                <w:spacing w:val="2"/>
                <w:sz w:val="20"/>
                <w:szCs w:val="20"/>
              </w:rPr>
              <w:t xml:space="preserve"> proyecto de</w:t>
            </w:r>
            <w:r w:rsidR="00852E78" w:rsidRPr="00D17C41">
              <w:rPr>
                <w:rFonts w:ascii="Cambria" w:hAnsi="Cambria"/>
                <w:b/>
                <w:bCs/>
                <w:color w:val="FF0000"/>
                <w:sz w:val="20"/>
                <w:szCs w:val="20"/>
                <w:highlight w:val="yellow"/>
              </w:rPr>
              <w:t xml:space="preserve"> </w:t>
            </w:r>
            <w:r w:rsidR="00852E78" w:rsidRPr="00852E78">
              <w:rPr>
                <w:rFonts w:ascii="Cambria" w:hAnsi="Cambria"/>
                <w:b/>
                <w:bCs/>
                <w:color w:val="FF0000"/>
                <w:sz w:val="20"/>
                <w:szCs w:val="20"/>
              </w:rPr>
              <w:t>Ley septiembre de 2025</w:t>
            </w:r>
            <w:r w:rsidRPr="00852E78">
              <w:rPr>
                <w:rStyle w:val="iaj"/>
                <w:rFonts w:ascii="Cambria" w:hAnsi="Cambria"/>
                <w:b/>
                <w:bCs/>
                <w:color w:val="FF0000"/>
                <w:spacing w:val="2"/>
                <w:sz w:val="20"/>
                <w:szCs w:val="20"/>
              </w:rPr>
              <w:t>)</w:t>
            </w:r>
            <w:r w:rsidRPr="00281C2B">
              <w:rPr>
                <w:rStyle w:val="iaj"/>
                <w:rFonts w:ascii="Cambria" w:hAnsi="Cambria"/>
                <w:b/>
                <w:bCs/>
                <w:i/>
                <w:iCs/>
                <w:color w:val="FF0000"/>
                <w:spacing w:val="2"/>
                <w:sz w:val="20"/>
                <w:szCs w:val="20"/>
              </w:rPr>
              <w:t>.</w:t>
            </w:r>
            <w:r w:rsidRPr="00281C2B">
              <w:rPr>
                <w:rFonts w:ascii="Cambria" w:hAnsi="Cambria"/>
                <w:color w:val="FF0000"/>
                <w:sz w:val="20"/>
                <w:szCs w:val="20"/>
              </w:rPr>
              <w:t xml:space="preserve">  </w:t>
            </w:r>
            <w:r>
              <w:rPr>
                <w:rFonts w:ascii="Cambria" w:hAnsi="Cambria"/>
                <w:b/>
                <w:bCs/>
                <w:color w:val="000000" w:themeColor="text1"/>
                <w:sz w:val="20"/>
                <w:szCs w:val="20"/>
              </w:rPr>
              <w:t xml:space="preserve"> </w:t>
            </w:r>
            <w:r w:rsidRPr="00281C2B">
              <w:rPr>
                <w:rFonts w:ascii="Cambria" w:hAnsi="Cambria"/>
                <w:color w:val="00A9E0"/>
                <w:sz w:val="20"/>
                <w:szCs w:val="20"/>
                <w:u w:val="single"/>
              </w:rPr>
              <w:t>.</w:t>
            </w:r>
            <w:r w:rsidRPr="00281C2B">
              <w:rPr>
                <w:rFonts w:ascii="Cambria" w:hAnsi="Cambria"/>
                <w:sz w:val="20"/>
                <w:szCs w:val="20"/>
              </w:rPr>
              <w:t xml:space="preserve">  </w:t>
            </w:r>
            <w:r>
              <w:rPr>
                <w:sz w:val="20"/>
                <w:szCs w:val="20"/>
              </w:rPr>
              <w:t xml:space="preserve">Sin perjuicio de lo dispuesto en los artículos 709 y 713 del Estatuto Tributario, los contribuyentes, responsables o agentes retenedores, podrán corregir sus declaraciones tributarias dentro </w:t>
            </w:r>
            <w:r w:rsidRPr="00281C2B">
              <w:rPr>
                <w:sz w:val="20"/>
                <w:szCs w:val="20"/>
                <w:highlight w:val="yellow"/>
              </w:rPr>
              <w:t>del término de firmeza de que trata el artículo 714 del Estatuto Tributario</w:t>
            </w:r>
            <w:r>
              <w:rPr>
                <w:sz w:val="20"/>
                <w:szCs w:val="20"/>
              </w:rPr>
              <w:t xml:space="preserve"> y antes de que se les haya notificado requerimiento especial o pliego de cargos, en relación con la declaración tributaria que se corrige, y se liquide la correspondiente sanción por corrección. </w:t>
            </w:r>
          </w:p>
          <w:p w:rsidR="00281C2B" w:rsidRDefault="00281C2B" w:rsidP="00281C2B">
            <w:pPr>
              <w:jc w:val="both"/>
              <w:rPr>
                <w:rFonts w:ascii="Cambria" w:hAnsi="Cambria"/>
                <w:sz w:val="20"/>
                <w:szCs w:val="20"/>
              </w:rPr>
            </w:pPr>
          </w:p>
          <w:p w:rsidR="00281C2B" w:rsidRDefault="00281C2B" w:rsidP="00281C2B">
            <w:pPr>
              <w:jc w:val="both"/>
              <w:rPr>
                <w:rFonts w:ascii="Cambria" w:hAnsi="Cambria"/>
                <w:color w:val="454545"/>
                <w:sz w:val="20"/>
                <w:szCs w:val="20"/>
              </w:rPr>
            </w:pPr>
            <w:r w:rsidRPr="00281C2B">
              <w:rPr>
                <w:rFonts w:ascii="Cambria" w:hAnsi="Cambria"/>
                <w:sz w:val="20"/>
                <w:szCs w:val="20"/>
              </w:rPr>
              <w:t>Toda declaración que el contribuyente, responsable, agente retenedor o declarante, presente con posterioridad a la declaración inicial, será considerada como una corrección a la declaración inicial o a la última corrección presentada, según el caso.</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t xml:space="preserve"> </w:t>
            </w:r>
          </w:p>
          <w:p w:rsidR="00281C2B" w:rsidRDefault="00281C2B" w:rsidP="00281C2B">
            <w:pPr>
              <w:jc w:val="both"/>
              <w:rPr>
                <w:rFonts w:ascii="Cambria" w:hAnsi="Cambria"/>
                <w:color w:val="454545"/>
                <w:sz w:val="20"/>
                <w:szCs w:val="20"/>
              </w:rPr>
            </w:pPr>
            <w:r w:rsidRPr="00281C2B">
              <w:rPr>
                <w:rFonts w:ascii="Cambria" w:hAnsi="Cambria"/>
                <w:sz w:val="20"/>
                <w:szCs w:val="20"/>
              </w:rPr>
              <w:t>Cuando el mayor valor a pagar, o el menor saldo a favor, obedezca a la rectificación de un error que proviene de diferencias de criterio o de apreciación entre las oficinas de impuestos y el declarante, relativas a la interpretación del derecho aplicable, siempre que los hechos que consten en la declaración objeto de corrección sean completos y verdaderos, no se aplicará la sanción de corrección. Para tal efecto, el contribuyente procederá a corregir, siguiendo el procedimiento previsto en el artículo siguiente y explicando las razones en que se fundamenta.</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lastRenderedPageBreak/>
              <w:t xml:space="preserve"> </w:t>
            </w:r>
          </w:p>
          <w:p w:rsidR="00281C2B" w:rsidRDefault="00281C2B" w:rsidP="00281C2B">
            <w:pPr>
              <w:jc w:val="both"/>
              <w:rPr>
                <w:rFonts w:ascii="Cambria" w:hAnsi="Cambria"/>
                <w:color w:val="454545"/>
                <w:sz w:val="20"/>
                <w:szCs w:val="20"/>
              </w:rPr>
            </w:pPr>
            <w:r w:rsidRPr="00281C2B">
              <w:rPr>
                <w:rFonts w:ascii="Cambria" w:hAnsi="Cambria"/>
                <w:sz w:val="20"/>
                <w:szCs w:val="20"/>
              </w:rPr>
              <w:t>La corrección prevista en este artículo también procede cuando no se varíe el valor a pagar o el saldo a favor. En este caso no será necesario liquidar sanción por corrección.</w:t>
            </w:r>
          </w:p>
          <w:p w:rsidR="00281C2B" w:rsidRPr="00281C2B" w:rsidRDefault="00281C2B" w:rsidP="00281C2B">
            <w:pPr>
              <w:jc w:val="both"/>
              <w:rPr>
                <w:rFonts w:ascii="Cambria" w:hAnsi="Cambria"/>
                <w:color w:val="454545"/>
                <w:sz w:val="20"/>
                <w:szCs w:val="20"/>
              </w:rPr>
            </w:pPr>
            <w:r w:rsidRPr="00281C2B">
              <w:rPr>
                <w:rFonts w:ascii="Cambria" w:hAnsi="Cambria"/>
                <w:color w:val="454545"/>
                <w:sz w:val="20"/>
                <w:szCs w:val="20"/>
              </w:rPr>
              <w:t xml:space="preserve"> </w:t>
            </w:r>
          </w:p>
          <w:p w:rsidR="00281C2B" w:rsidRPr="00281C2B" w:rsidRDefault="00281C2B" w:rsidP="00281C2B">
            <w:pPr>
              <w:jc w:val="both"/>
              <w:rPr>
                <w:rFonts w:ascii="Cambria" w:hAnsi="Cambria"/>
                <w:color w:val="454545"/>
                <w:sz w:val="20"/>
                <w:szCs w:val="20"/>
              </w:rPr>
            </w:pPr>
            <w:r w:rsidRPr="00281C2B">
              <w:rPr>
                <w:rStyle w:val="baj"/>
                <w:rFonts w:ascii="Cambria" w:hAnsi="Cambria"/>
                <w:b/>
                <w:bCs/>
                <w:color w:val="343536"/>
                <w:spacing w:val="2"/>
                <w:sz w:val="20"/>
                <w:szCs w:val="20"/>
              </w:rPr>
              <w:t>PARAGRAFO.</w:t>
            </w:r>
            <w:r w:rsidRPr="00281C2B">
              <w:rPr>
                <w:rFonts w:ascii="Cambria" w:hAnsi="Cambria"/>
                <w:sz w:val="20"/>
                <w:szCs w:val="20"/>
              </w:rPr>
              <w:t>  En los casos previstos en el presente artículo, el contribuyente, retenedor o responsable podrá corregir válidamente, sus declaraciones tributarias, aunque se encuentre vencido el término previsto en este artículo, cuando se realice en el término de respuesta al pliego de cargos o al emplazamiento para corregir.</w:t>
            </w:r>
            <w:r w:rsidRPr="00281C2B">
              <w:rPr>
                <w:rFonts w:ascii="Cambria" w:hAnsi="Cambria"/>
                <w:color w:val="454545"/>
                <w:sz w:val="20"/>
                <w:szCs w:val="20"/>
              </w:rPr>
              <w:t xml:space="preserve"> </w:t>
            </w:r>
          </w:p>
          <w:p w:rsidR="00281C2B" w:rsidRDefault="00281C2B" w:rsidP="00281C2B">
            <w:pPr>
              <w:jc w:val="both"/>
              <w:rPr>
                <w:rStyle w:val="baj"/>
                <w:rFonts w:ascii="Cambria" w:hAnsi="Cambria"/>
                <w:b/>
                <w:bCs/>
                <w:color w:val="343536"/>
                <w:spacing w:val="2"/>
                <w:sz w:val="20"/>
                <w:szCs w:val="20"/>
              </w:rPr>
            </w:pPr>
          </w:p>
          <w:p w:rsidR="00281C2B" w:rsidRPr="00281C2B" w:rsidRDefault="00281C2B" w:rsidP="00281C2B">
            <w:pPr>
              <w:jc w:val="both"/>
              <w:rPr>
                <w:rFonts w:ascii="Cambria" w:hAnsi="Cambria"/>
                <w:sz w:val="20"/>
                <w:szCs w:val="20"/>
              </w:rPr>
            </w:pPr>
            <w:r w:rsidRPr="00281C2B">
              <w:rPr>
                <w:rStyle w:val="baj"/>
                <w:rFonts w:ascii="Cambria" w:hAnsi="Cambria"/>
                <w:b/>
                <w:bCs/>
                <w:color w:val="343536"/>
                <w:spacing w:val="2"/>
                <w:sz w:val="20"/>
                <w:szCs w:val="20"/>
              </w:rPr>
              <w:t>PARAGRAFO 2o.</w:t>
            </w:r>
            <w:r w:rsidRPr="00281C2B">
              <w:rPr>
                <w:rFonts w:ascii="Cambria" w:hAnsi="Cambria"/>
                <w:sz w:val="20"/>
                <w:szCs w:val="20"/>
              </w:rPr>
              <w:t>  Las inconsistencias a que se refieren los literales a), b) y d) del artículo </w:t>
            </w:r>
            <w:r w:rsidRPr="00281C2B">
              <w:rPr>
                <w:rFonts w:ascii="Cambria" w:hAnsi="Cambria"/>
                <w:spacing w:val="2"/>
                <w:sz w:val="20"/>
                <w:szCs w:val="20"/>
              </w:rPr>
              <w:t>580</w:t>
            </w:r>
            <w:r w:rsidRPr="00281C2B">
              <w:rPr>
                <w:rFonts w:ascii="Cambria" w:hAnsi="Cambria"/>
                <w:sz w:val="20"/>
                <w:szCs w:val="20"/>
              </w:rPr>
              <w:t>, </w:t>
            </w:r>
            <w:r w:rsidRPr="00281C2B">
              <w:rPr>
                <w:rFonts w:ascii="Cambria" w:hAnsi="Cambria"/>
                <w:spacing w:val="2"/>
                <w:sz w:val="20"/>
                <w:szCs w:val="20"/>
              </w:rPr>
              <w:t>650-1</w:t>
            </w:r>
            <w:r w:rsidRPr="00281C2B">
              <w:rPr>
                <w:rFonts w:ascii="Cambria" w:hAnsi="Cambria"/>
                <w:sz w:val="20"/>
                <w:szCs w:val="20"/>
              </w:rPr>
              <w:t> y </w:t>
            </w:r>
            <w:r w:rsidRPr="00281C2B">
              <w:rPr>
                <w:rFonts w:ascii="Cambria" w:hAnsi="Cambria"/>
                <w:spacing w:val="2"/>
                <w:sz w:val="20"/>
                <w:szCs w:val="20"/>
              </w:rPr>
              <w:t>650-2</w:t>
            </w:r>
            <w:r w:rsidRPr="00281C2B">
              <w:rPr>
                <w:rFonts w:ascii="Cambria" w:hAnsi="Cambria"/>
                <w:sz w:val="20"/>
                <w:szCs w:val="20"/>
              </w:rPr>
              <w:t> del Estatuto Tributario siempre y cuando no se haya notificado sanción por no declarar, podrán corregirse mediante el procedimiento previsto en el presente artículo, liquidando una sanción equivalente al 2% de la sanción de que trata el artículo </w:t>
            </w:r>
            <w:r w:rsidRPr="00281C2B">
              <w:rPr>
                <w:rFonts w:ascii="Cambria" w:hAnsi="Cambria"/>
                <w:spacing w:val="2"/>
                <w:sz w:val="20"/>
                <w:szCs w:val="20"/>
              </w:rPr>
              <w:t>641</w:t>
            </w:r>
            <w:r w:rsidRPr="00281C2B">
              <w:rPr>
                <w:rFonts w:ascii="Cambria" w:hAnsi="Cambria"/>
                <w:sz w:val="20"/>
                <w:szCs w:val="20"/>
              </w:rPr>
              <w:t> del Estatuto Tributario, sin que exceda de 1.300 UVT.</w:t>
            </w:r>
          </w:p>
          <w:p w:rsidR="00281C2B" w:rsidRPr="00281C2B" w:rsidRDefault="00281C2B" w:rsidP="00281C2B">
            <w:pPr>
              <w:jc w:val="both"/>
              <w:rPr>
                <w:rFonts w:ascii="Cambria" w:hAnsi="Cambria"/>
                <w:color w:val="454545"/>
                <w:sz w:val="20"/>
                <w:szCs w:val="20"/>
              </w:rPr>
            </w:pPr>
          </w:p>
          <w:p w:rsidR="00281C2B" w:rsidRPr="00281C2B" w:rsidRDefault="00281C2B" w:rsidP="00281C2B">
            <w:pPr>
              <w:jc w:val="both"/>
              <w:rPr>
                <w:rFonts w:ascii="Cambria" w:hAnsi="Cambria"/>
                <w:b/>
                <w:bCs/>
                <w:color w:val="000000" w:themeColor="text1"/>
                <w:sz w:val="20"/>
                <w:szCs w:val="20"/>
              </w:rPr>
            </w:pPr>
          </w:p>
        </w:tc>
      </w:tr>
      <w:tr w:rsidR="00D8501A" w:rsidTr="0059378C">
        <w:tc>
          <w:tcPr>
            <w:tcW w:w="4958" w:type="dxa"/>
          </w:tcPr>
          <w:p w:rsidR="00D8501A" w:rsidRDefault="00D8501A" w:rsidP="00D8501A">
            <w:pPr>
              <w:jc w:val="both"/>
              <w:rPr>
                <w:rFonts w:ascii="Cambria" w:hAnsi="Cambria"/>
                <w:color w:val="454545"/>
                <w:sz w:val="20"/>
                <w:szCs w:val="20"/>
              </w:rPr>
            </w:pPr>
            <w:bookmarkStart w:id="32" w:name="589"/>
            <w:r w:rsidRPr="00D8501A">
              <w:rPr>
                <w:rFonts w:ascii="Cambria" w:hAnsi="Cambria"/>
                <w:b/>
                <w:bCs/>
                <w:color w:val="000000" w:themeColor="text1"/>
                <w:sz w:val="20"/>
                <w:szCs w:val="20"/>
              </w:rPr>
              <w:lastRenderedPageBreak/>
              <w:t>Articulo 589. Correcciones que disminuyan el valor a pagar o aumenten el saldo a favor.</w:t>
            </w:r>
            <w:r w:rsidRPr="00D8501A">
              <w:rPr>
                <w:rFonts w:ascii="Cambria" w:hAnsi="Cambria"/>
                <w:color w:val="000000" w:themeColor="text1"/>
                <w:sz w:val="20"/>
                <w:szCs w:val="20"/>
                <w:u w:val="single"/>
              </w:rPr>
              <w:t> </w:t>
            </w:r>
            <w:bookmarkEnd w:id="32"/>
            <w:r w:rsidRPr="00D8501A">
              <w:rPr>
                <w:rFonts w:ascii="Cambria" w:hAnsi="Cambria"/>
                <w:sz w:val="20"/>
                <w:szCs w:val="20"/>
              </w:rPr>
              <w:t xml:space="preserve"> Para corregir las declaraciones tributarias, disminuyendo el valor a pagar o aumentando el saldo a favor, se deberá presentar la respectiva declaración por el medio al cual se encuentra obligado el contribuyente, </w:t>
            </w:r>
            <w:r w:rsidRPr="00A079E5">
              <w:rPr>
                <w:rFonts w:ascii="Cambria" w:hAnsi="Cambria"/>
                <w:sz w:val="20"/>
                <w:szCs w:val="20"/>
                <w:highlight w:val="yellow"/>
              </w:rPr>
              <w:t>dentro del año siguiente</w:t>
            </w:r>
            <w:r w:rsidRPr="00D8501A">
              <w:rPr>
                <w:rFonts w:ascii="Cambria" w:hAnsi="Cambria"/>
                <w:sz w:val="20"/>
                <w:szCs w:val="20"/>
              </w:rPr>
              <w:t xml:space="preserve"> </w:t>
            </w:r>
            <w:r w:rsidRPr="006F4C9C">
              <w:rPr>
                <w:rFonts w:ascii="Cambria" w:hAnsi="Cambria"/>
                <w:sz w:val="20"/>
                <w:szCs w:val="20"/>
                <w:highlight w:val="yellow"/>
              </w:rPr>
              <w:t>al vencimiento del término para presentar la declaración</w:t>
            </w:r>
            <w:r w:rsidRPr="00D8501A">
              <w:rPr>
                <w:rFonts w:ascii="Cambria" w:hAnsi="Cambria"/>
                <w:sz w:val="20"/>
                <w:szCs w:val="20"/>
              </w:rPr>
              <w:t>.</w:t>
            </w:r>
          </w:p>
          <w:p w:rsidR="00D8501A" w:rsidRDefault="00D8501A" w:rsidP="00D8501A">
            <w:pPr>
              <w:jc w:val="both"/>
              <w:rPr>
                <w:rFonts w:ascii="Cambria" w:hAnsi="Cambria"/>
                <w:color w:val="454545"/>
                <w:sz w:val="20"/>
                <w:szCs w:val="20"/>
              </w:rPr>
            </w:pPr>
            <w:r w:rsidRPr="00D8501A">
              <w:rPr>
                <w:rFonts w:ascii="Cambria" w:hAnsi="Cambria"/>
                <w:color w:val="454545"/>
                <w:sz w:val="20"/>
                <w:szCs w:val="20"/>
              </w:rPr>
              <w:t xml:space="preserve"> </w:t>
            </w:r>
          </w:p>
          <w:p w:rsidR="00D8501A" w:rsidRPr="00D8501A" w:rsidRDefault="00D8501A" w:rsidP="00D8501A">
            <w:pPr>
              <w:jc w:val="both"/>
              <w:rPr>
                <w:rFonts w:ascii="Cambria" w:hAnsi="Cambria"/>
                <w:color w:val="454545"/>
                <w:sz w:val="20"/>
                <w:szCs w:val="20"/>
              </w:rPr>
            </w:pPr>
          </w:p>
          <w:p w:rsidR="00D8501A" w:rsidRDefault="00D8501A" w:rsidP="00D8501A">
            <w:pPr>
              <w:jc w:val="both"/>
              <w:rPr>
                <w:rFonts w:ascii="Cambria" w:hAnsi="Cambria"/>
                <w:sz w:val="20"/>
                <w:szCs w:val="20"/>
              </w:rPr>
            </w:pPr>
            <w:r w:rsidRPr="00D8501A">
              <w:rPr>
                <w:rFonts w:ascii="Cambria" w:hAnsi="Cambria"/>
                <w:sz w:val="20"/>
                <w:szCs w:val="20"/>
              </w:rPr>
              <w:t>La corrección de las declaraciones a que se refiere este artículo no impide la facultad de revisión, la cual se contará a partir de la fecha de la corrección.</w:t>
            </w:r>
          </w:p>
          <w:p w:rsidR="00D8501A" w:rsidRPr="00D8501A" w:rsidRDefault="00D8501A" w:rsidP="00D8501A">
            <w:pPr>
              <w:jc w:val="both"/>
              <w:rPr>
                <w:rFonts w:ascii="Cambria" w:hAnsi="Cambria"/>
                <w:sz w:val="20"/>
                <w:szCs w:val="20"/>
              </w:rPr>
            </w:pPr>
          </w:p>
          <w:p w:rsidR="00D8501A" w:rsidRDefault="00D8501A" w:rsidP="00D8501A">
            <w:pPr>
              <w:jc w:val="both"/>
              <w:rPr>
                <w:rFonts w:ascii="Cambria" w:hAnsi="Cambria"/>
                <w:sz w:val="20"/>
                <w:szCs w:val="20"/>
              </w:rPr>
            </w:pPr>
            <w:r w:rsidRPr="00D8501A">
              <w:rPr>
                <w:rStyle w:val="baj"/>
                <w:rFonts w:ascii="Cambria" w:hAnsi="Cambria"/>
                <w:b/>
                <w:bCs/>
                <w:color w:val="343536"/>
                <w:spacing w:val="2"/>
                <w:sz w:val="20"/>
                <w:szCs w:val="20"/>
              </w:rPr>
              <w:t>PARÁGRAFO.</w:t>
            </w:r>
            <w:r w:rsidRPr="00D8501A">
              <w:rPr>
                <w:rFonts w:ascii="Cambria" w:hAnsi="Cambria"/>
                <w:sz w:val="20"/>
                <w:szCs w:val="20"/>
              </w:rPr>
              <w:t> El procedimiento previsto en el presente artículo se aplicará igualmente a las correcciones que impliquen incrementos en los anticipos del impuesto para ser aplicados a las declaraciones de los ejercicios siguientes, salvo que la corrección del anticipo se derive de una corrección que incrementa el impuesto por el correspondiente ejercicio.</w:t>
            </w:r>
          </w:p>
          <w:p w:rsidR="00D8501A" w:rsidRDefault="00D8501A" w:rsidP="00D8501A">
            <w:pPr>
              <w:jc w:val="both"/>
              <w:rPr>
                <w:rFonts w:ascii="Cambria" w:hAnsi="Cambria"/>
                <w:sz w:val="20"/>
                <w:szCs w:val="20"/>
              </w:rPr>
            </w:pPr>
          </w:p>
          <w:p w:rsidR="00D8501A" w:rsidRPr="00D8501A" w:rsidRDefault="00D8501A" w:rsidP="00D8501A">
            <w:pPr>
              <w:jc w:val="both"/>
              <w:rPr>
                <w:rFonts w:ascii="Cambria" w:hAnsi="Cambria"/>
                <w:sz w:val="20"/>
                <w:szCs w:val="20"/>
              </w:rPr>
            </w:pPr>
          </w:p>
          <w:p w:rsidR="00D8501A" w:rsidRPr="00D8501A" w:rsidRDefault="00D8501A" w:rsidP="00D8501A">
            <w:pPr>
              <w:jc w:val="both"/>
              <w:rPr>
                <w:rFonts w:ascii="Cambria" w:hAnsi="Cambria"/>
                <w:sz w:val="20"/>
                <w:szCs w:val="20"/>
              </w:rPr>
            </w:pPr>
            <w:r w:rsidRPr="00D8501A">
              <w:rPr>
                <w:rStyle w:val="baj"/>
                <w:rFonts w:ascii="Cambria" w:hAnsi="Cambria"/>
                <w:b/>
                <w:bCs/>
                <w:color w:val="343536"/>
                <w:spacing w:val="2"/>
                <w:sz w:val="20"/>
                <w:szCs w:val="20"/>
              </w:rPr>
              <w:t>PARÁGRAFO TRANSITORIO. </w:t>
            </w:r>
            <w:r w:rsidRPr="00D8501A">
              <w:rPr>
                <w:rFonts w:ascii="Cambria" w:hAnsi="Cambria"/>
                <w:sz w:val="20"/>
                <w:szCs w:val="20"/>
              </w:rPr>
              <w:t>El presente artículo entrará en vigencia una vez la Administración Tributaria realice los ajustes informáticos necesarios y lo informe así en su página web, plazo que no podrá exceder un (1) año contado a partir del 1o de enero de 2017.</w:t>
            </w:r>
          </w:p>
          <w:p w:rsidR="00D8501A" w:rsidRPr="00D8501A" w:rsidRDefault="00D8501A" w:rsidP="00D8501A">
            <w:pPr>
              <w:jc w:val="both"/>
              <w:rPr>
                <w:rFonts w:ascii="Cambria" w:hAnsi="Cambria"/>
                <w:b/>
                <w:bCs/>
                <w:color w:val="000000" w:themeColor="text1"/>
                <w:sz w:val="20"/>
                <w:szCs w:val="20"/>
              </w:rPr>
            </w:pPr>
          </w:p>
        </w:tc>
        <w:tc>
          <w:tcPr>
            <w:tcW w:w="4865" w:type="dxa"/>
          </w:tcPr>
          <w:p w:rsidR="00D8501A" w:rsidRPr="00D8501A" w:rsidRDefault="00D8501A" w:rsidP="00D8501A">
            <w:pPr>
              <w:jc w:val="both"/>
              <w:rPr>
                <w:rFonts w:ascii="Cambria" w:hAnsi="Cambria"/>
                <w:color w:val="454545"/>
                <w:sz w:val="20"/>
                <w:szCs w:val="20"/>
              </w:rPr>
            </w:pPr>
            <w:r w:rsidRPr="00D8501A">
              <w:rPr>
                <w:rFonts w:ascii="Cambria" w:hAnsi="Cambria"/>
                <w:b/>
                <w:bCs/>
                <w:color w:val="000000" w:themeColor="text1"/>
                <w:sz w:val="20"/>
                <w:szCs w:val="20"/>
              </w:rPr>
              <w:t>Articulo 589. Correcciones que disminuyan el valor a pagar o aumenten el saldo a favor</w:t>
            </w:r>
            <w:r>
              <w:rPr>
                <w:rFonts w:ascii="Cambria" w:hAnsi="Cambria"/>
                <w:b/>
                <w:bCs/>
                <w:color w:val="000000" w:themeColor="text1"/>
                <w:sz w:val="20"/>
                <w:szCs w:val="20"/>
              </w:rPr>
              <w:t xml:space="preserve"> </w:t>
            </w:r>
            <w:r w:rsidR="006F4C9C">
              <w:rPr>
                <w:rFonts w:ascii="Cambria" w:hAnsi="Cambria"/>
                <w:b/>
                <w:bCs/>
                <w:color w:val="000000" w:themeColor="text1"/>
                <w:sz w:val="20"/>
                <w:szCs w:val="20"/>
              </w:rPr>
              <w:t>(</w:t>
            </w:r>
            <w:r w:rsidRPr="00281C2B">
              <w:rPr>
                <w:rStyle w:val="iaj"/>
                <w:rFonts w:ascii="Cambria" w:hAnsi="Cambria"/>
                <w:b/>
                <w:bCs/>
                <w:color w:val="FF0000"/>
                <w:spacing w:val="2"/>
                <w:sz w:val="20"/>
                <w:szCs w:val="20"/>
              </w:rPr>
              <w:t>modificado con artículo 7</w:t>
            </w:r>
            <w:r>
              <w:rPr>
                <w:rStyle w:val="iaj"/>
                <w:rFonts w:ascii="Cambria" w:hAnsi="Cambria"/>
                <w:b/>
                <w:bCs/>
                <w:color w:val="FF0000"/>
                <w:spacing w:val="2"/>
                <w:sz w:val="20"/>
                <w:szCs w:val="20"/>
              </w:rPr>
              <w:t>1</w:t>
            </w:r>
            <w:r w:rsidRPr="00281C2B">
              <w:rPr>
                <w:rStyle w:val="iaj"/>
                <w:rFonts w:ascii="Cambria" w:hAnsi="Cambria"/>
                <w:b/>
                <w:bCs/>
                <w:color w:val="FF0000"/>
                <w:spacing w:val="2"/>
                <w:sz w:val="20"/>
                <w:szCs w:val="20"/>
              </w:rPr>
              <w:t xml:space="preserve"> proyecto de</w:t>
            </w:r>
            <w:r w:rsidR="00852E78">
              <w:rPr>
                <w:rStyle w:val="iaj"/>
                <w:rFonts w:ascii="Cambria" w:hAnsi="Cambria"/>
                <w:b/>
                <w:bCs/>
                <w:color w:val="FF0000"/>
                <w:spacing w:val="2"/>
                <w:sz w:val="20"/>
                <w:szCs w:val="20"/>
              </w:rPr>
              <w:t xml:space="preserve"> </w:t>
            </w:r>
            <w:r w:rsidR="00852E78" w:rsidRPr="00852E78">
              <w:rPr>
                <w:rFonts w:ascii="Cambria" w:hAnsi="Cambria"/>
                <w:b/>
                <w:bCs/>
                <w:color w:val="FF0000"/>
                <w:sz w:val="20"/>
                <w:szCs w:val="20"/>
              </w:rPr>
              <w:t>Ley septiembre de 2025</w:t>
            </w:r>
            <w:r w:rsidRPr="00852E78">
              <w:rPr>
                <w:rStyle w:val="iaj"/>
                <w:rFonts w:ascii="Cambria" w:hAnsi="Cambria"/>
                <w:b/>
                <w:bCs/>
                <w:color w:val="FF0000"/>
                <w:spacing w:val="2"/>
                <w:sz w:val="20"/>
                <w:szCs w:val="20"/>
              </w:rPr>
              <w:t>)</w:t>
            </w:r>
            <w:r w:rsidRPr="00281C2B">
              <w:rPr>
                <w:rStyle w:val="iaj"/>
                <w:rFonts w:ascii="Cambria" w:hAnsi="Cambria"/>
                <w:b/>
                <w:bCs/>
                <w:i/>
                <w:iCs/>
                <w:color w:val="FF0000"/>
                <w:spacing w:val="2"/>
                <w:sz w:val="20"/>
                <w:szCs w:val="20"/>
              </w:rPr>
              <w:t>.</w:t>
            </w:r>
            <w:r w:rsidRPr="00281C2B">
              <w:rPr>
                <w:rFonts w:ascii="Cambria" w:hAnsi="Cambria"/>
                <w:color w:val="FF0000"/>
                <w:sz w:val="20"/>
                <w:szCs w:val="20"/>
              </w:rPr>
              <w:t xml:space="preserve">  </w:t>
            </w:r>
            <w:r>
              <w:rPr>
                <w:rFonts w:ascii="Cambria" w:hAnsi="Cambria"/>
                <w:b/>
                <w:bCs/>
                <w:color w:val="000000" w:themeColor="text1"/>
                <w:sz w:val="20"/>
                <w:szCs w:val="20"/>
              </w:rPr>
              <w:t xml:space="preserve"> </w:t>
            </w:r>
            <w:r w:rsidRPr="00D8501A">
              <w:rPr>
                <w:rFonts w:ascii="Cambria" w:hAnsi="Cambria"/>
                <w:b/>
                <w:bCs/>
                <w:color w:val="000000" w:themeColor="text1"/>
                <w:sz w:val="20"/>
                <w:szCs w:val="20"/>
              </w:rPr>
              <w:t>.</w:t>
            </w:r>
            <w:r w:rsidRPr="00D8501A">
              <w:rPr>
                <w:rFonts w:ascii="Cambria" w:hAnsi="Cambria"/>
                <w:color w:val="000000" w:themeColor="text1"/>
                <w:sz w:val="20"/>
                <w:szCs w:val="20"/>
                <w:u w:val="single"/>
              </w:rPr>
              <w:t> </w:t>
            </w:r>
            <w:r w:rsidRPr="00D8501A">
              <w:rPr>
                <w:rFonts w:ascii="Cambria" w:hAnsi="Cambria"/>
                <w:sz w:val="20"/>
                <w:szCs w:val="20"/>
              </w:rPr>
              <w:t xml:space="preserve"> Para corregir las declaraciones tributarias, disminuyendo el valor a pagar o aumentando el saldo a favor, se deberá presentar la respectiva declaración por el medio al cual se encuentra obligado el contribuyente, </w:t>
            </w:r>
            <w:r w:rsidR="006F4C9C" w:rsidRPr="00281C2B">
              <w:rPr>
                <w:sz w:val="20"/>
                <w:szCs w:val="20"/>
                <w:highlight w:val="yellow"/>
              </w:rPr>
              <w:t>del término de firmeza de que trata el artículo 714 del Estatuto Tributario</w:t>
            </w:r>
          </w:p>
          <w:p w:rsidR="006F4C9C" w:rsidRDefault="006F4C9C" w:rsidP="00D8501A">
            <w:pPr>
              <w:jc w:val="both"/>
              <w:rPr>
                <w:rFonts w:ascii="Cambria" w:hAnsi="Cambria"/>
                <w:sz w:val="20"/>
                <w:szCs w:val="20"/>
              </w:rPr>
            </w:pPr>
          </w:p>
          <w:p w:rsidR="00D8501A" w:rsidRDefault="00D8501A" w:rsidP="00D8501A">
            <w:pPr>
              <w:jc w:val="both"/>
              <w:rPr>
                <w:rFonts w:ascii="Cambria" w:hAnsi="Cambria"/>
                <w:sz w:val="20"/>
                <w:szCs w:val="20"/>
              </w:rPr>
            </w:pPr>
            <w:r w:rsidRPr="00D8501A">
              <w:rPr>
                <w:rFonts w:ascii="Cambria" w:hAnsi="Cambria"/>
                <w:sz w:val="20"/>
                <w:szCs w:val="20"/>
              </w:rPr>
              <w:t>La corrección de las declaraciones a que se refiere este artículo no impide la facultad de revisión, la cual se contará a partir de la fecha de la corrección.</w:t>
            </w:r>
          </w:p>
          <w:p w:rsidR="00D8501A" w:rsidRPr="00D8501A" w:rsidRDefault="00D8501A" w:rsidP="00D8501A">
            <w:pPr>
              <w:jc w:val="both"/>
              <w:rPr>
                <w:rFonts w:ascii="Cambria" w:hAnsi="Cambria"/>
                <w:sz w:val="20"/>
                <w:szCs w:val="20"/>
              </w:rPr>
            </w:pPr>
          </w:p>
          <w:p w:rsidR="00D8501A" w:rsidRDefault="00D8501A" w:rsidP="00D8501A">
            <w:pPr>
              <w:jc w:val="both"/>
              <w:rPr>
                <w:rFonts w:ascii="Cambria" w:hAnsi="Cambria"/>
                <w:sz w:val="20"/>
                <w:szCs w:val="20"/>
              </w:rPr>
            </w:pPr>
            <w:r w:rsidRPr="00D8501A">
              <w:rPr>
                <w:rStyle w:val="baj"/>
                <w:rFonts w:ascii="Cambria" w:hAnsi="Cambria"/>
                <w:b/>
                <w:bCs/>
                <w:color w:val="343536"/>
                <w:spacing w:val="2"/>
                <w:sz w:val="20"/>
                <w:szCs w:val="20"/>
              </w:rPr>
              <w:t>PARÁGRAFO.</w:t>
            </w:r>
            <w:r w:rsidRPr="00D8501A">
              <w:rPr>
                <w:rFonts w:ascii="Cambria" w:hAnsi="Cambria"/>
                <w:sz w:val="20"/>
                <w:szCs w:val="20"/>
              </w:rPr>
              <w:t> El procedimiento previsto en el presente artículo se aplicará igualmente a las correcciones que impliquen incrementos en los anticipos del impuesto para ser aplicados a las declaraciones de los ejercicios siguientes, salvo que la corrección del anticipo se derive de una corrección que incrementa el impuesto por el correspondiente ejercicio.</w:t>
            </w:r>
          </w:p>
          <w:p w:rsidR="00D8501A" w:rsidRPr="00D8501A" w:rsidRDefault="00D8501A" w:rsidP="00D8501A">
            <w:pPr>
              <w:jc w:val="both"/>
              <w:rPr>
                <w:rFonts w:ascii="Cambria" w:hAnsi="Cambria"/>
                <w:sz w:val="20"/>
                <w:szCs w:val="20"/>
              </w:rPr>
            </w:pPr>
          </w:p>
          <w:p w:rsidR="00D8501A" w:rsidRPr="00D8501A" w:rsidRDefault="00D8501A" w:rsidP="00D8501A">
            <w:pPr>
              <w:jc w:val="both"/>
              <w:rPr>
                <w:rFonts w:ascii="Cambria" w:hAnsi="Cambria"/>
                <w:sz w:val="20"/>
                <w:szCs w:val="20"/>
              </w:rPr>
            </w:pPr>
            <w:r w:rsidRPr="00D8501A">
              <w:rPr>
                <w:rStyle w:val="baj"/>
                <w:rFonts w:ascii="Cambria" w:hAnsi="Cambria"/>
                <w:b/>
                <w:bCs/>
                <w:color w:val="343536"/>
                <w:spacing w:val="2"/>
                <w:sz w:val="20"/>
                <w:szCs w:val="20"/>
              </w:rPr>
              <w:t>PARÁGRAFO TRANSITORIO. </w:t>
            </w:r>
            <w:r w:rsidRPr="00D8501A">
              <w:rPr>
                <w:rFonts w:ascii="Cambria" w:hAnsi="Cambria"/>
                <w:sz w:val="20"/>
                <w:szCs w:val="20"/>
              </w:rPr>
              <w:t>El presente artículo entrará en vigencia una vez la Administración Tributaria realice los ajustes informáticos necesarios y lo informe así en su página web, plazo que no podrá exceder un (1) año contado a partir del 1o de enero de 2017.</w:t>
            </w:r>
          </w:p>
          <w:p w:rsidR="00D8501A" w:rsidRPr="00D8501A" w:rsidRDefault="00D8501A" w:rsidP="00D8501A">
            <w:pPr>
              <w:jc w:val="both"/>
              <w:rPr>
                <w:rFonts w:ascii="Cambria" w:hAnsi="Cambria"/>
                <w:b/>
                <w:bCs/>
                <w:color w:val="000000" w:themeColor="text1"/>
                <w:sz w:val="20"/>
                <w:szCs w:val="20"/>
              </w:rPr>
            </w:pPr>
          </w:p>
        </w:tc>
      </w:tr>
      <w:tr w:rsidR="006F4C9C" w:rsidTr="0059378C">
        <w:tc>
          <w:tcPr>
            <w:tcW w:w="4958" w:type="dxa"/>
          </w:tcPr>
          <w:p w:rsidR="006F4C9C" w:rsidRPr="006F4C9C" w:rsidRDefault="006F4C9C" w:rsidP="006F4C9C">
            <w:pPr>
              <w:jc w:val="both"/>
              <w:rPr>
                <w:rFonts w:ascii="Cambria" w:hAnsi="Cambria"/>
                <w:sz w:val="20"/>
                <w:szCs w:val="20"/>
              </w:rPr>
            </w:pPr>
            <w:bookmarkStart w:id="33" w:name="600"/>
            <w:r w:rsidRPr="006F4C9C">
              <w:rPr>
                <w:rFonts w:ascii="Cambria" w:hAnsi="Cambria"/>
                <w:b/>
                <w:bCs/>
                <w:color w:val="000000" w:themeColor="text1"/>
                <w:sz w:val="20"/>
                <w:szCs w:val="20"/>
              </w:rPr>
              <w:lastRenderedPageBreak/>
              <w:t>Articulo 600. Periodo gravable del impuesto sobre las ventas</w:t>
            </w:r>
            <w:r w:rsidRPr="006F4C9C">
              <w:rPr>
                <w:rFonts w:ascii="Cambria" w:hAnsi="Cambria"/>
                <w:color w:val="00A9E0"/>
                <w:sz w:val="20"/>
                <w:szCs w:val="20"/>
                <w:u w:val="single"/>
              </w:rPr>
              <w:t>.</w:t>
            </w:r>
            <w:bookmarkEnd w:id="33"/>
            <w:r w:rsidRPr="006F4C9C">
              <w:rPr>
                <w:rFonts w:ascii="Cambria" w:hAnsi="Cambria"/>
                <w:sz w:val="20"/>
                <w:szCs w:val="20"/>
              </w:rPr>
              <w:t>  El período gravable del impuesto sobre las ventas será así:</w:t>
            </w:r>
          </w:p>
          <w:p w:rsidR="006F4C9C" w:rsidRDefault="006F4C9C" w:rsidP="006F4C9C">
            <w:pPr>
              <w:jc w:val="both"/>
              <w:rPr>
                <w:rFonts w:ascii="Cambria" w:hAnsi="Cambria"/>
                <w:sz w:val="20"/>
                <w:szCs w:val="20"/>
              </w:rPr>
            </w:pPr>
          </w:p>
          <w:p w:rsidR="006F4C9C" w:rsidRPr="006F4C9C" w:rsidRDefault="006F4C9C" w:rsidP="006F4C9C">
            <w:pPr>
              <w:jc w:val="both"/>
              <w:rPr>
                <w:rFonts w:ascii="Cambria" w:hAnsi="Cambria"/>
                <w:color w:val="454545"/>
                <w:sz w:val="20"/>
                <w:szCs w:val="20"/>
              </w:rPr>
            </w:pPr>
            <w:r w:rsidRPr="006F4C9C">
              <w:rPr>
                <w:rFonts w:ascii="Cambria" w:hAnsi="Cambria"/>
                <w:sz w:val="20"/>
                <w:szCs w:val="20"/>
                <w:highlight w:val="yellow"/>
              </w:rPr>
              <w:t>1. Declaración y pago bimestral para aquellos responsables de este impuesto, grandes contribuyentes y aquellas personas jurídicas y naturales cuyos ingresos brutos a 31 de diciembre del año gravable anterior sean iguales o superiores a noventa y dos mil (92.000) UVT y para los responsables de que tratan los artículos </w:t>
            </w:r>
            <w:r w:rsidRPr="006F4C9C">
              <w:rPr>
                <w:rFonts w:ascii="Cambria" w:hAnsi="Cambria"/>
                <w:spacing w:val="2"/>
                <w:sz w:val="20"/>
                <w:szCs w:val="20"/>
                <w:highlight w:val="yellow"/>
              </w:rPr>
              <w:t>477</w:t>
            </w:r>
            <w:r w:rsidRPr="006F4C9C">
              <w:rPr>
                <w:rFonts w:ascii="Cambria" w:hAnsi="Cambria"/>
                <w:sz w:val="20"/>
                <w:szCs w:val="20"/>
                <w:highlight w:val="yellow"/>
              </w:rPr>
              <w:t> y </w:t>
            </w:r>
            <w:r w:rsidRPr="006F4C9C">
              <w:rPr>
                <w:rFonts w:ascii="Cambria" w:hAnsi="Cambria"/>
                <w:spacing w:val="2"/>
                <w:sz w:val="20"/>
                <w:szCs w:val="20"/>
                <w:highlight w:val="yellow"/>
              </w:rPr>
              <w:t>481</w:t>
            </w:r>
            <w:r w:rsidRPr="006F4C9C">
              <w:rPr>
                <w:rFonts w:ascii="Cambria" w:hAnsi="Cambria"/>
                <w:sz w:val="20"/>
                <w:szCs w:val="20"/>
                <w:highlight w:val="yellow"/>
              </w:rPr>
              <w:t xml:space="preserve"> de este Estatuto. Los períodos bimestrales son: </w:t>
            </w:r>
            <w:r w:rsidRPr="006F4C9C">
              <w:rPr>
                <w:rFonts w:ascii="Cambria" w:hAnsi="Cambria"/>
                <w:sz w:val="20"/>
                <w:szCs w:val="20"/>
              </w:rPr>
              <w:t>enero-febrero; marzo-abril; mayo-junio; julio-agosto; septiembre-octubre; y noviembre-diciembre.</w:t>
            </w:r>
          </w:p>
          <w:p w:rsidR="006F4C9C" w:rsidRPr="006F4C9C" w:rsidRDefault="006F4C9C" w:rsidP="006F4C9C">
            <w:pPr>
              <w:jc w:val="both"/>
              <w:rPr>
                <w:rFonts w:ascii="Cambria" w:hAnsi="Cambria"/>
                <w:color w:val="454545"/>
                <w:sz w:val="20"/>
                <w:szCs w:val="20"/>
                <w:highlight w:val="yellow"/>
              </w:rPr>
            </w:pPr>
            <w:r w:rsidRPr="006F4C9C">
              <w:rPr>
                <w:rFonts w:ascii="Cambria" w:hAnsi="Cambria"/>
                <w:color w:val="454545"/>
                <w:sz w:val="20"/>
                <w:szCs w:val="20"/>
                <w:highlight w:val="yellow"/>
              </w:rPr>
              <w:t xml:space="preserve"> </w:t>
            </w:r>
          </w:p>
          <w:p w:rsidR="006F4C9C" w:rsidRDefault="006F4C9C" w:rsidP="006F4C9C">
            <w:pPr>
              <w:jc w:val="both"/>
              <w:rPr>
                <w:rFonts w:ascii="Cambria" w:hAnsi="Cambria"/>
                <w:color w:val="454545"/>
                <w:sz w:val="20"/>
                <w:szCs w:val="20"/>
              </w:rPr>
            </w:pPr>
            <w:r w:rsidRPr="006F4C9C">
              <w:rPr>
                <w:rFonts w:ascii="Cambria" w:hAnsi="Cambria"/>
                <w:sz w:val="20"/>
                <w:szCs w:val="20"/>
                <w:highlight w:val="yellow"/>
              </w:rPr>
              <w:t>2. Declaración y pago cuatrimestral para aquellos responsables de este impuesto, personas jurídicas y naturales cuyos ingresos brutos a 31 de diciembre del año gravable anterior sean inferiores a noventa y dos mil (92.000) UVT. Los periodos cuatrimestrales serán enero-abril; mayo-agosto; y septiembre-diciembre.</w:t>
            </w:r>
          </w:p>
          <w:p w:rsidR="006F4C9C" w:rsidRPr="006F4C9C" w:rsidRDefault="006F4C9C" w:rsidP="006F4C9C">
            <w:pPr>
              <w:jc w:val="both"/>
              <w:rPr>
                <w:rFonts w:ascii="Cambria" w:hAnsi="Cambria"/>
                <w:color w:val="454545"/>
                <w:sz w:val="20"/>
                <w:szCs w:val="20"/>
              </w:rPr>
            </w:pPr>
            <w:r w:rsidRPr="006F4C9C">
              <w:rPr>
                <w:rFonts w:ascii="Cambria" w:hAnsi="Cambria"/>
                <w:color w:val="454545"/>
                <w:sz w:val="20"/>
                <w:szCs w:val="20"/>
              </w:rPr>
              <w:t xml:space="preserve"> </w:t>
            </w:r>
          </w:p>
          <w:p w:rsidR="006F4C9C" w:rsidRDefault="006F4C9C" w:rsidP="006F4C9C">
            <w:pPr>
              <w:jc w:val="both"/>
              <w:rPr>
                <w:rFonts w:ascii="Cambria" w:hAnsi="Cambria"/>
                <w:sz w:val="20"/>
                <w:szCs w:val="20"/>
              </w:rPr>
            </w:pPr>
            <w:r w:rsidRPr="006F4C9C">
              <w:rPr>
                <w:rStyle w:val="baj"/>
                <w:rFonts w:ascii="Cambria" w:hAnsi="Cambria"/>
                <w:b/>
                <w:bCs/>
                <w:color w:val="343536"/>
                <w:spacing w:val="2"/>
                <w:sz w:val="20"/>
                <w:szCs w:val="20"/>
              </w:rPr>
              <w:t>PARÁGRAFO. </w:t>
            </w:r>
            <w:r w:rsidRPr="006F4C9C">
              <w:rPr>
                <w:rFonts w:ascii="Cambria" w:hAnsi="Cambria"/>
                <w:sz w:val="20"/>
                <w:szCs w:val="20"/>
              </w:rPr>
              <w:t>En el caso de liquidación o terminación de actividades durante el ejercicio, el período gravable se contará desde su iniciación hasta las fechas señaladas en el artículo </w:t>
            </w:r>
            <w:r w:rsidRPr="006F4C9C">
              <w:rPr>
                <w:rFonts w:ascii="Cambria" w:hAnsi="Cambria"/>
                <w:spacing w:val="2"/>
                <w:sz w:val="20"/>
                <w:szCs w:val="20"/>
              </w:rPr>
              <w:t>595</w:t>
            </w:r>
            <w:r w:rsidRPr="006F4C9C">
              <w:rPr>
                <w:rFonts w:ascii="Cambria" w:hAnsi="Cambria"/>
                <w:sz w:val="20"/>
                <w:szCs w:val="20"/>
              </w:rPr>
              <w:t> de este Estatuto.</w:t>
            </w:r>
          </w:p>
          <w:p w:rsidR="006F4C9C" w:rsidRPr="006F4C9C" w:rsidRDefault="006F4C9C" w:rsidP="006F4C9C">
            <w:pPr>
              <w:jc w:val="both"/>
              <w:rPr>
                <w:rFonts w:ascii="Cambria" w:hAnsi="Cambria"/>
                <w:sz w:val="20"/>
                <w:szCs w:val="20"/>
              </w:rPr>
            </w:pPr>
          </w:p>
          <w:p w:rsidR="006F4C9C" w:rsidRDefault="006F4C9C" w:rsidP="006F4C9C">
            <w:pPr>
              <w:jc w:val="both"/>
              <w:rPr>
                <w:rFonts w:ascii="Cambria" w:hAnsi="Cambria"/>
                <w:sz w:val="20"/>
                <w:szCs w:val="20"/>
              </w:rPr>
            </w:pPr>
            <w:r w:rsidRPr="006F4C9C">
              <w:rPr>
                <w:rFonts w:ascii="Cambria" w:hAnsi="Cambria"/>
                <w:sz w:val="20"/>
                <w:szCs w:val="20"/>
              </w:rPr>
              <w:t>Cuando se inicien actividades durante el ejercicio, el período gravable será el comprendido entre la fecha de iniciación de actividades y la fecha de finalización del respectivo período de acuerdo al numeral primero del presente artículo.</w:t>
            </w:r>
          </w:p>
          <w:p w:rsidR="006F4C9C" w:rsidRPr="006F4C9C" w:rsidRDefault="006F4C9C" w:rsidP="006F4C9C">
            <w:pPr>
              <w:jc w:val="both"/>
              <w:rPr>
                <w:rFonts w:ascii="Cambria" w:hAnsi="Cambria"/>
                <w:sz w:val="20"/>
                <w:szCs w:val="20"/>
              </w:rPr>
            </w:pPr>
          </w:p>
          <w:p w:rsidR="006F4C9C" w:rsidRPr="006F4C9C" w:rsidRDefault="006F4C9C" w:rsidP="006F4C9C">
            <w:pPr>
              <w:jc w:val="both"/>
              <w:rPr>
                <w:rFonts w:ascii="Cambria" w:hAnsi="Cambria"/>
                <w:sz w:val="20"/>
                <w:szCs w:val="20"/>
              </w:rPr>
            </w:pPr>
            <w:r w:rsidRPr="006F4C9C">
              <w:rPr>
                <w:rFonts w:ascii="Cambria" w:hAnsi="Cambria"/>
                <w:sz w:val="20"/>
                <w:szCs w:val="20"/>
                <w:highlight w:val="yellow"/>
              </w:rPr>
              <w:t>En caso de que el contribuyente, de un año a otro, cambie de periodo gravable, deberá informar a la Dirección de Impuestos y Aduanas Nacionales de acuerdo con la reglamentación expedida por el Gobierno nacional.</w:t>
            </w:r>
          </w:p>
          <w:p w:rsidR="006F4C9C" w:rsidRPr="006F4C9C" w:rsidRDefault="006F4C9C" w:rsidP="006F4C9C">
            <w:pPr>
              <w:jc w:val="both"/>
              <w:rPr>
                <w:rFonts w:ascii="Cambria" w:hAnsi="Cambria"/>
                <w:b/>
                <w:bCs/>
                <w:color w:val="000000" w:themeColor="text1"/>
                <w:sz w:val="20"/>
                <w:szCs w:val="20"/>
              </w:rPr>
            </w:pPr>
          </w:p>
        </w:tc>
        <w:tc>
          <w:tcPr>
            <w:tcW w:w="4865" w:type="dxa"/>
          </w:tcPr>
          <w:p w:rsidR="006F4C9C" w:rsidRDefault="006F4C9C" w:rsidP="006F4C9C">
            <w:pPr>
              <w:jc w:val="both"/>
              <w:rPr>
                <w:rFonts w:ascii="Cambria" w:hAnsi="Cambria"/>
                <w:color w:val="454545"/>
                <w:sz w:val="20"/>
                <w:szCs w:val="20"/>
              </w:rPr>
            </w:pPr>
            <w:r w:rsidRPr="006F4C9C">
              <w:rPr>
                <w:rFonts w:ascii="Cambria" w:hAnsi="Cambria"/>
                <w:b/>
                <w:bCs/>
                <w:color w:val="000000" w:themeColor="text1"/>
                <w:sz w:val="20"/>
                <w:szCs w:val="20"/>
              </w:rPr>
              <w:t>Articulo 600. Periodo gravable del impuesto sobre las ventas</w:t>
            </w:r>
            <w:r>
              <w:rPr>
                <w:rFonts w:ascii="Cambria" w:hAnsi="Cambria"/>
                <w:b/>
                <w:bCs/>
                <w:color w:val="000000" w:themeColor="text1"/>
                <w:sz w:val="20"/>
                <w:szCs w:val="20"/>
              </w:rPr>
              <w:t xml:space="preserve">  (</w:t>
            </w:r>
            <w:r w:rsidRPr="00281C2B">
              <w:rPr>
                <w:rStyle w:val="iaj"/>
                <w:rFonts w:ascii="Cambria" w:hAnsi="Cambria"/>
                <w:b/>
                <w:bCs/>
                <w:color w:val="FF0000"/>
                <w:spacing w:val="2"/>
                <w:sz w:val="20"/>
                <w:szCs w:val="20"/>
              </w:rPr>
              <w:t xml:space="preserve">modificado con artículo </w:t>
            </w:r>
            <w:r>
              <w:rPr>
                <w:rStyle w:val="iaj"/>
                <w:rFonts w:ascii="Cambria" w:hAnsi="Cambria"/>
                <w:b/>
                <w:bCs/>
                <w:color w:val="FF0000"/>
                <w:spacing w:val="2"/>
                <w:sz w:val="20"/>
                <w:szCs w:val="20"/>
              </w:rPr>
              <w:t>68</w:t>
            </w:r>
            <w:r w:rsidRPr="00281C2B">
              <w:rPr>
                <w:rStyle w:val="iaj"/>
                <w:rFonts w:ascii="Cambria" w:hAnsi="Cambria"/>
                <w:b/>
                <w:bCs/>
                <w:color w:val="FF0000"/>
                <w:spacing w:val="2"/>
                <w:sz w:val="20"/>
                <w:szCs w:val="20"/>
              </w:rPr>
              <w:t xml:space="preserve"> proyecto de Ley </w:t>
            </w:r>
            <w:r w:rsidR="00852E78">
              <w:rPr>
                <w:rStyle w:val="iaj"/>
                <w:rFonts w:ascii="Cambria" w:hAnsi="Cambria"/>
                <w:b/>
                <w:bCs/>
                <w:color w:val="FF0000"/>
                <w:spacing w:val="2"/>
                <w:sz w:val="20"/>
                <w:szCs w:val="20"/>
              </w:rPr>
              <w:t>septiembre</w:t>
            </w:r>
            <w:r w:rsidRPr="00281C2B">
              <w:rPr>
                <w:rStyle w:val="iaj"/>
                <w:rFonts w:ascii="Cambria" w:hAnsi="Cambria"/>
                <w:b/>
                <w:bCs/>
                <w:color w:val="FF0000"/>
                <w:spacing w:val="2"/>
                <w:sz w:val="20"/>
                <w:szCs w:val="20"/>
              </w:rPr>
              <w:t xml:space="preserve"> de 2025)</w:t>
            </w:r>
            <w:r w:rsidRPr="006F4C9C">
              <w:rPr>
                <w:rFonts w:ascii="Cambria" w:hAnsi="Cambria"/>
                <w:sz w:val="20"/>
                <w:szCs w:val="20"/>
              </w:rPr>
              <w:t xml:space="preserve">  </w:t>
            </w:r>
            <w:r>
              <w:rPr>
                <w:sz w:val="20"/>
                <w:szCs w:val="20"/>
              </w:rPr>
              <w:t xml:space="preserve">El periodo fiscal del impuesto sobre las ventas -IVA será bimestral. Los periodos bimestrales son: </w:t>
            </w:r>
            <w:r w:rsidRPr="006F4C9C">
              <w:rPr>
                <w:sz w:val="20"/>
                <w:szCs w:val="20"/>
                <w:highlight w:val="yellow"/>
              </w:rPr>
              <w:t>Enero-Febrero, Marzo-Abril, Mayo-Junio, Julio-Agosto, Septiembre-Octubre y Noviembre-Diciembre</w:t>
            </w:r>
          </w:p>
          <w:p w:rsidR="006F4C9C" w:rsidRPr="006F4C9C" w:rsidRDefault="006F4C9C" w:rsidP="006F4C9C">
            <w:pPr>
              <w:jc w:val="both"/>
              <w:rPr>
                <w:rFonts w:ascii="Cambria" w:hAnsi="Cambria"/>
                <w:color w:val="454545"/>
                <w:sz w:val="20"/>
                <w:szCs w:val="20"/>
              </w:rPr>
            </w:pPr>
            <w:r w:rsidRPr="006F4C9C">
              <w:rPr>
                <w:rFonts w:ascii="Cambria" w:hAnsi="Cambria"/>
                <w:color w:val="454545"/>
                <w:sz w:val="20"/>
                <w:szCs w:val="20"/>
              </w:rPr>
              <w:t xml:space="preserve"> </w:t>
            </w:r>
          </w:p>
          <w:p w:rsidR="006F4C9C" w:rsidRDefault="006F4C9C" w:rsidP="006F4C9C">
            <w:pPr>
              <w:jc w:val="both"/>
              <w:rPr>
                <w:rFonts w:ascii="Cambria" w:hAnsi="Cambria"/>
                <w:sz w:val="20"/>
                <w:szCs w:val="20"/>
              </w:rPr>
            </w:pPr>
            <w:r w:rsidRPr="006F4C9C">
              <w:rPr>
                <w:rStyle w:val="baj"/>
                <w:rFonts w:ascii="Cambria" w:hAnsi="Cambria"/>
                <w:b/>
                <w:bCs/>
                <w:color w:val="343536"/>
                <w:spacing w:val="2"/>
                <w:sz w:val="20"/>
                <w:szCs w:val="20"/>
              </w:rPr>
              <w:t>PARÁGRAFO. </w:t>
            </w:r>
            <w:r w:rsidRPr="006F4C9C">
              <w:rPr>
                <w:rFonts w:ascii="Cambria" w:hAnsi="Cambria"/>
                <w:sz w:val="20"/>
                <w:szCs w:val="20"/>
              </w:rPr>
              <w:t>En el caso de liquidación o terminación de actividades durante el ejercicio, el período gravable se contará desde su iniciación hasta las fechas señaladas en el artículo </w:t>
            </w:r>
            <w:r w:rsidRPr="006F4C9C">
              <w:rPr>
                <w:rFonts w:ascii="Cambria" w:hAnsi="Cambria"/>
                <w:spacing w:val="2"/>
                <w:sz w:val="20"/>
                <w:szCs w:val="20"/>
              </w:rPr>
              <w:t>595</w:t>
            </w:r>
            <w:r w:rsidRPr="006F4C9C">
              <w:rPr>
                <w:rFonts w:ascii="Cambria" w:hAnsi="Cambria"/>
                <w:sz w:val="20"/>
                <w:szCs w:val="20"/>
              </w:rPr>
              <w:t> de este Estatuto</w:t>
            </w:r>
            <w:r>
              <w:rPr>
                <w:rFonts w:ascii="Cambria" w:hAnsi="Cambria"/>
                <w:sz w:val="20"/>
                <w:szCs w:val="20"/>
              </w:rPr>
              <w:t xml:space="preserve">, </w:t>
            </w:r>
            <w:r w:rsidRPr="006F4C9C">
              <w:rPr>
                <w:rFonts w:ascii="Cambria" w:hAnsi="Cambria"/>
                <w:sz w:val="20"/>
                <w:szCs w:val="20"/>
                <w:highlight w:val="yellow"/>
              </w:rPr>
              <w:t>o la cesación de responsabilidad en el Registro Único Tributario</w:t>
            </w:r>
          </w:p>
          <w:p w:rsidR="006F4C9C" w:rsidRPr="006F4C9C" w:rsidRDefault="006F4C9C" w:rsidP="006F4C9C">
            <w:pPr>
              <w:jc w:val="both"/>
              <w:rPr>
                <w:rFonts w:ascii="Cambria" w:hAnsi="Cambria"/>
                <w:sz w:val="20"/>
                <w:szCs w:val="20"/>
              </w:rPr>
            </w:pPr>
          </w:p>
          <w:p w:rsidR="006F4C9C" w:rsidRDefault="006F4C9C" w:rsidP="006F4C9C">
            <w:pPr>
              <w:jc w:val="both"/>
              <w:rPr>
                <w:rFonts w:ascii="Cambria" w:hAnsi="Cambria"/>
                <w:sz w:val="20"/>
                <w:szCs w:val="20"/>
              </w:rPr>
            </w:pPr>
            <w:r w:rsidRPr="006F4C9C">
              <w:rPr>
                <w:rFonts w:ascii="Cambria" w:hAnsi="Cambria"/>
                <w:sz w:val="20"/>
                <w:szCs w:val="20"/>
              </w:rPr>
              <w:t>Cuando se inicien actividades durante el ejercicio, el período gravable será el comprendido entre la fecha de iniciación de actividades y la fecha de finalización del respectivo período de acuerdo al numeral primero del presente artículo.</w:t>
            </w:r>
          </w:p>
          <w:p w:rsidR="006F4C9C" w:rsidRPr="006F4C9C" w:rsidRDefault="006F4C9C" w:rsidP="006F4C9C">
            <w:pPr>
              <w:jc w:val="both"/>
              <w:rPr>
                <w:rFonts w:ascii="Cambria" w:hAnsi="Cambria"/>
                <w:sz w:val="20"/>
                <w:szCs w:val="20"/>
              </w:rPr>
            </w:pPr>
          </w:p>
          <w:p w:rsidR="006F4C9C" w:rsidRPr="006F4C9C" w:rsidRDefault="006F4C9C" w:rsidP="006F4C9C">
            <w:pPr>
              <w:jc w:val="both"/>
              <w:rPr>
                <w:rFonts w:ascii="Cambria" w:hAnsi="Cambria"/>
                <w:b/>
                <w:bCs/>
                <w:color w:val="000000" w:themeColor="text1"/>
                <w:sz w:val="20"/>
                <w:szCs w:val="20"/>
              </w:rPr>
            </w:pPr>
            <w:r w:rsidRPr="006F4C9C">
              <w:rPr>
                <w:rFonts w:ascii="Cambria" w:hAnsi="Cambria"/>
                <w:sz w:val="20"/>
                <w:szCs w:val="20"/>
                <w:highlight w:val="yellow"/>
              </w:rPr>
              <w:t>La presentación de la declaración en periodos diferentes a los indicados en este artículo dará por no valida la declaración, sin necesidad de acto administrativo que así lo declare.</w:t>
            </w:r>
            <w:r w:rsidRPr="006F4C9C">
              <w:rPr>
                <w:rFonts w:ascii="Cambria" w:hAnsi="Cambria"/>
                <w:sz w:val="20"/>
                <w:szCs w:val="20"/>
              </w:rPr>
              <w:t xml:space="preserve"> </w:t>
            </w:r>
          </w:p>
        </w:tc>
      </w:tr>
      <w:tr w:rsidR="00A90524" w:rsidTr="0059378C">
        <w:tc>
          <w:tcPr>
            <w:tcW w:w="4958" w:type="dxa"/>
          </w:tcPr>
          <w:p w:rsidR="00A90524" w:rsidRDefault="00A90524" w:rsidP="00A90524">
            <w:pPr>
              <w:jc w:val="both"/>
              <w:rPr>
                <w:rFonts w:ascii="Cambria" w:hAnsi="Cambria"/>
                <w:sz w:val="20"/>
                <w:szCs w:val="20"/>
              </w:rPr>
            </w:pPr>
            <w:bookmarkStart w:id="34" w:name="615"/>
            <w:r w:rsidRPr="00A90524">
              <w:rPr>
                <w:rFonts w:ascii="Cambria" w:hAnsi="Cambria"/>
                <w:b/>
                <w:bCs/>
                <w:color w:val="000000" w:themeColor="text1"/>
                <w:sz w:val="20"/>
                <w:szCs w:val="20"/>
              </w:rPr>
              <w:t>Articulo 615. Obligación de expedir factura</w:t>
            </w:r>
            <w:r w:rsidRPr="00A90524">
              <w:rPr>
                <w:rFonts w:ascii="Cambria" w:hAnsi="Cambria"/>
                <w:color w:val="00A9E0"/>
                <w:sz w:val="20"/>
                <w:szCs w:val="20"/>
                <w:u w:val="single"/>
              </w:rPr>
              <w:t>.</w:t>
            </w:r>
            <w:bookmarkEnd w:id="34"/>
            <w:r w:rsidRPr="00A90524">
              <w:rPr>
                <w:rFonts w:ascii="Cambria" w:hAnsi="Cambria"/>
                <w:sz w:val="20"/>
                <w:szCs w:val="20"/>
              </w:rPr>
              <w:t xml:space="preserve"> Para efectos tributarios, todas las personas o entidades </w:t>
            </w:r>
            <w:r w:rsidRPr="00A90524">
              <w:rPr>
                <w:rFonts w:ascii="Cambria" w:hAnsi="Cambria"/>
                <w:sz w:val="20"/>
                <w:szCs w:val="20"/>
                <w:highlight w:val="yellow"/>
              </w:rPr>
              <w:t>que tengan la calidad de comerciantes, ejerzan profesiones liberales o presten servicios inherentes a éstas, o enajenen bienes producto de la actividad agrícola o ganadera</w:t>
            </w:r>
            <w:r w:rsidRPr="00A90524">
              <w:rPr>
                <w:rFonts w:ascii="Cambria" w:hAnsi="Cambria"/>
                <w:sz w:val="20"/>
                <w:szCs w:val="20"/>
              </w:rPr>
              <w:t xml:space="preserve">, </w:t>
            </w:r>
            <w:r w:rsidRPr="0099148A">
              <w:rPr>
                <w:rFonts w:ascii="Cambria" w:hAnsi="Cambria"/>
                <w:sz w:val="20"/>
                <w:szCs w:val="20"/>
                <w:highlight w:val="yellow"/>
              </w:rPr>
              <w:t>deberán</w:t>
            </w:r>
            <w:r w:rsidRPr="00A90524">
              <w:rPr>
                <w:rFonts w:ascii="Cambria" w:hAnsi="Cambria"/>
                <w:sz w:val="20"/>
                <w:szCs w:val="20"/>
              </w:rPr>
              <w:t xml:space="preserve"> expedir factura o documento equivalente, y conservar </w:t>
            </w:r>
            <w:r w:rsidRPr="0099148A">
              <w:rPr>
                <w:rFonts w:ascii="Cambria" w:hAnsi="Cambria"/>
                <w:sz w:val="20"/>
                <w:szCs w:val="20"/>
                <w:highlight w:val="yellow"/>
              </w:rPr>
              <w:t>copia de la misma</w:t>
            </w:r>
            <w:r w:rsidRPr="00A90524">
              <w:rPr>
                <w:rFonts w:ascii="Cambria" w:hAnsi="Cambria"/>
                <w:sz w:val="20"/>
                <w:szCs w:val="20"/>
              </w:rPr>
              <w:t xml:space="preserve"> por cada una de las operaciones que realicen, independientemente de su calidad de contribuyentes o no contribuyentes de los impuestos administrados por la Dirección General de Impuestos Nacionales</w:t>
            </w:r>
          </w:p>
          <w:p w:rsidR="00A90524" w:rsidRDefault="00A90524" w:rsidP="00A90524">
            <w:pPr>
              <w:jc w:val="both"/>
              <w:rPr>
                <w:rFonts w:ascii="Cambria" w:hAnsi="Cambria"/>
                <w:color w:val="454545"/>
                <w:sz w:val="20"/>
                <w:szCs w:val="20"/>
              </w:rPr>
            </w:pPr>
            <w:r w:rsidRPr="00A90524">
              <w:rPr>
                <w:rFonts w:ascii="Cambria" w:hAnsi="Cambria"/>
                <w:color w:val="454545"/>
                <w:sz w:val="20"/>
                <w:szCs w:val="20"/>
              </w:rPr>
              <w:t xml:space="preserve"> </w:t>
            </w:r>
          </w:p>
          <w:p w:rsidR="00A90524" w:rsidRDefault="00A90524" w:rsidP="00A90524">
            <w:pPr>
              <w:jc w:val="both"/>
              <w:rPr>
                <w:rFonts w:ascii="Cambria" w:hAnsi="Cambria"/>
                <w:color w:val="454545"/>
                <w:sz w:val="20"/>
                <w:szCs w:val="20"/>
              </w:rPr>
            </w:pPr>
            <w:r w:rsidRPr="0099148A">
              <w:rPr>
                <w:rFonts w:ascii="Cambria" w:hAnsi="Cambria"/>
                <w:sz w:val="20"/>
                <w:szCs w:val="20"/>
                <w:highlight w:val="yellow"/>
              </w:rPr>
              <w:t>Para quienes utilicen máquinas registradoras, el documento equivalente será el tiquete expedido por ésta.</w:t>
            </w:r>
          </w:p>
          <w:p w:rsidR="00A90524" w:rsidRDefault="00A90524" w:rsidP="00A90524">
            <w:pPr>
              <w:jc w:val="both"/>
              <w:rPr>
                <w:rFonts w:ascii="Cambria" w:hAnsi="Cambria"/>
                <w:color w:val="454545"/>
                <w:sz w:val="20"/>
                <w:szCs w:val="20"/>
              </w:rPr>
            </w:pPr>
            <w:r w:rsidRPr="00A90524">
              <w:rPr>
                <w:rFonts w:ascii="Cambria" w:hAnsi="Cambria"/>
                <w:color w:val="454545"/>
                <w:sz w:val="20"/>
                <w:szCs w:val="20"/>
              </w:rPr>
              <w:lastRenderedPageBreak/>
              <w:t xml:space="preserve"> </w:t>
            </w: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99148A" w:rsidRDefault="0099148A" w:rsidP="00A90524">
            <w:pPr>
              <w:jc w:val="both"/>
              <w:rPr>
                <w:rFonts w:ascii="Cambria" w:hAnsi="Cambria"/>
                <w:color w:val="454545"/>
                <w:sz w:val="20"/>
                <w:szCs w:val="20"/>
              </w:rPr>
            </w:pPr>
          </w:p>
          <w:p w:rsidR="00A90524" w:rsidRDefault="00A90524" w:rsidP="00A90524">
            <w:pPr>
              <w:jc w:val="both"/>
              <w:rPr>
                <w:rFonts w:ascii="Cambria" w:hAnsi="Cambria"/>
                <w:sz w:val="20"/>
                <w:szCs w:val="20"/>
              </w:rPr>
            </w:pPr>
            <w:r w:rsidRPr="00A90524">
              <w:rPr>
                <w:rStyle w:val="baj"/>
                <w:rFonts w:ascii="Cambria" w:hAnsi="Cambria"/>
                <w:b/>
                <w:bCs/>
                <w:color w:val="343536"/>
                <w:spacing w:val="2"/>
                <w:sz w:val="20"/>
                <w:szCs w:val="20"/>
              </w:rPr>
              <w:t>PARAGRAFO.</w:t>
            </w:r>
            <w:r w:rsidRPr="00A90524">
              <w:rPr>
                <w:rFonts w:ascii="Cambria" w:hAnsi="Cambria"/>
                <w:sz w:val="20"/>
                <w:szCs w:val="20"/>
              </w:rPr>
              <w:t xml:space="preserve">  </w:t>
            </w:r>
            <w:r w:rsidRPr="0099148A">
              <w:rPr>
                <w:rFonts w:ascii="Cambria" w:hAnsi="Cambria"/>
                <w:sz w:val="20"/>
                <w:szCs w:val="20"/>
                <w:highlight w:val="yellow"/>
              </w:rPr>
              <w:t>La boleta de ingreso a las salas de exhibición cinematográfica constituye el documento equivalente a la factura.</w:t>
            </w:r>
          </w:p>
          <w:p w:rsidR="00A90524" w:rsidRDefault="00A90524" w:rsidP="00A90524">
            <w:pPr>
              <w:jc w:val="both"/>
              <w:rPr>
                <w:color w:val="454545"/>
              </w:rPr>
            </w:pPr>
          </w:p>
          <w:p w:rsidR="0099148A" w:rsidRDefault="0099148A" w:rsidP="00A90524">
            <w:pPr>
              <w:jc w:val="both"/>
              <w:rPr>
                <w:color w:val="454545"/>
              </w:rPr>
            </w:pPr>
          </w:p>
          <w:p w:rsidR="00A90524" w:rsidRDefault="00A90524" w:rsidP="00A90524">
            <w:pPr>
              <w:jc w:val="both"/>
              <w:rPr>
                <w:rFonts w:ascii="Cambria" w:hAnsi="Cambria"/>
                <w:sz w:val="20"/>
                <w:szCs w:val="20"/>
              </w:rPr>
            </w:pPr>
            <w:r w:rsidRPr="00A90524">
              <w:rPr>
                <w:rStyle w:val="baj"/>
                <w:rFonts w:ascii="Cambria" w:hAnsi="Cambria"/>
                <w:b/>
                <w:bCs/>
                <w:color w:val="343536"/>
                <w:spacing w:val="2"/>
                <w:sz w:val="20"/>
                <w:szCs w:val="20"/>
              </w:rPr>
              <w:t>PARAGRAFO 2o.</w:t>
            </w:r>
            <w:r w:rsidRPr="00A90524">
              <w:rPr>
                <w:rFonts w:ascii="Cambria" w:hAnsi="Cambria"/>
                <w:sz w:val="20"/>
                <w:szCs w:val="20"/>
              </w:rPr>
              <w:t>  Quienes tengan la calidad de agentes de retención del impuesto sobre las ventas, deberán expedir un certificado bimestral que cumpla los requisitos de que trata el artículo </w:t>
            </w:r>
            <w:r w:rsidRPr="00A90524">
              <w:rPr>
                <w:rFonts w:ascii="Cambria" w:hAnsi="Cambria"/>
                <w:spacing w:val="2"/>
                <w:sz w:val="20"/>
                <w:szCs w:val="20"/>
              </w:rPr>
              <w:t>381</w:t>
            </w:r>
            <w:r w:rsidRPr="00A90524">
              <w:rPr>
                <w:rFonts w:ascii="Cambria" w:hAnsi="Cambria"/>
                <w:sz w:val="20"/>
                <w:szCs w:val="20"/>
              </w:rPr>
              <w:t> del Estatuto Tributario. A solicitud del beneficiario del pago, el agente de retención expedirá un certificado por cada retención efectuada, el cual deberá contener las mismas especificaciones del certificado bimestral.</w:t>
            </w:r>
          </w:p>
          <w:p w:rsidR="00A90524" w:rsidRPr="00A90524" w:rsidRDefault="00A90524" w:rsidP="00A90524">
            <w:pPr>
              <w:jc w:val="both"/>
              <w:rPr>
                <w:rFonts w:ascii="Cambria" w:hAnsi="Cambria"/>
                <w:sz w:val="20"/>
                <w:szCs w:val="20"/>
              </w:rPr>
            </w:pPr>
          </w:p>
          <w:p w:rsidR="00A90524" w:rsidRPr="00A90524" w:rsidRDefault="00A90524" w:rsidP="00A90524">
            <w:pPr>
              <w:jc w:val="both"/>
              <w:rPr>
                <w:rFonts w:ascii="Cambria" w:hAnsi="Cambria"/>
                <w:sz w:val="20"/>
                <w:szCs w:val="20"/>
              </w:rPr>
            </w:pPr>
            <w:r w:rsidRPr="00A90524">
              <w:rPr>
                <w:rFonts w:ascii="Cambria" w:hAnsi="Cambria"/>
                <w:sz w:val="20"/>
                <w:szCs w:val="20"/>
              </w:rPr>
              <w:t>En los demás aspectos se aplicarán las previsiones de los parágrafos 1o. y 2o. del artículo </w:t>
            </w:r>
            <w:r w:rsidRPr="00A90524">
              <w:rPr>
                <w:rFonts w:ascii="Cambria" w:hAnsi="Cambria"/>
                <w:spacing w:val="2"/>
                <w:sz w:val="20"/>
                <w:szCs w:val="20"/>
              </w:rPr>
              <w:t>381</w:t>
            </w:r>
            <w:r w:rsidRPr="00A90524">
              <w:rPr>
                <w:rFonts w:ascii="Cambria" w:hAnsi="Cambria"/>
                <w:sz w:val="20"/>
                <w:szCs w:val="20"/>
              </w:rPr>
              <w:t> del Estatuto Tributario.</w:t>
            </w:r>
          </w:p>
          <w:p w:rsidR="00A90524" w:rsidRPr="00A90524" w:rsidRDefault="00A90524" w:rsidP="00A90524">
            <w:pPr>
              <w:jc w:val="both"/>
              <w:rPr>
                <w:rFonts w:ascii="Cambria" w:hAnsi="Cambria"/>
                <w:b/>
                <w:bCs/>
                <w:color w:val="000000" w:themeColor="text1"/>
                <w:sz w:val="20"/>
                <w:szCs w:val="20"/>
              </w:rPr>
            </w:pPr>
          </w:p>
        </w:tc>
        <w:tc>
          <w:tcPr>
            <w:tcW w:w="4865" w:type="dxa"/>
          </w:tcPr>
          <w:p w:rsidR="00A90524" w:rsidRPr="00A90524" w:rsidRDefault="00A90524" w:rsidP="00A90524">
            <w:pPr>
              <w:jc w:val="both"/>
              <w:rPr>
                <w:rFonts w:ascii="Cambria" w:hAnsi="Cambria"/>
                <w:sz w:val="20"/>
                <w:szCs w:val="20"/>
              </w:rPr>
            </w:pPr>
            <w:r w:rsidRPr="00A90524">
              <w:rPr>
                <w:rFonts w:ascii="Cambria" w:hAnsi="Cambria"/>
                <w:b/>
                <w:bCs/>
                <w:color w:val="000000" w:themeColor="text1"/>
                <w:sz w:val="20"/>
                <w:szCs w:val="20"/>
              </w:rPr>
              <w:lastRenderedPageBreak/>
              <w:t>Articulo 615. Obligación de expedir factura</w:t>
            </w:r>
            <w:r>
              <w:rPr>
                <w:rFonts w:ascii="Cambria" w:hAnsi="Cambria"/>
                <w:b/>
                <w:bCs/>
                <w:color w:val="000000" w:themeColor="text1"/>
                <w:sz w:val="20"/>
                <w:szCs w:val="20"/>
              </w:rPr>
              <w:t xml:space="preserve"> (</w:t>
            </w:r>
            <w:r w:rsidRPr="00281C2B">
              <w:rPr>
                <w:rStyle w:val="iaj"/>
                <w:rFonts w:ascii="Cambria" w:hAnsi="Cambria"/>
                <w:b/>
                <w:bCs/>
                <w:color w:val="FF0000"/>
                <w:spacing w:val="2"/>
                <w:sz w:val="20"/>
                <w:szCs w:val="20"/>
              </w:rPr>
              <w:t xml:space="preserve">modificado con artículo </w:t>
            </w:r>
            <w:r>
              <w:rPr>
                <w:rStyle w:val="iaj"/>
                <w:rFonts w:ascii="Cambria" w:hAnsi="Cambria"/>
                <w:b/>
                <w:bCs/>
                <w:color w:val="FF0000"/>
                <w:spacing w:val="2"/>
                <w:sz w:val="20"/>
                <w:szCs w:val="20"/>
              </w:rPr>
              <w:t>57</w:t>
            </w:r>
            <w:r w:rsidRPr="00281C2B">
              <w:rPr>
                <w:rStyle w:val="iaj"/>
                <w:rFonts w:ascii="Cambria" w:hAnsi="Cambria"/>
                <w:b/>
                <w:bCs/>
                <w:color w:val="FF0000"/>
                <w:spacing w:val="2"/>
                <w:sz w:val="20"/>
                <w:szCs w:val="20"/>
              </w:rPr>
              <w:t xml:space="preserve">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sidRPr="00281C2B">
              <w:rPr>
                <w:rStyle w:val="iaj"/>
                <w:rFonts w:ascii="Cambria" w:hAnsi="Cambria"/>
                <w:b/>
                <w:bCs/>
                <w:color w:val="FF0000"/>
                <w:spacing w:val="2"/>
                <w:sz w:val="20"/>
                <w:szCs w:val="20"/>
              </w:rPr>
              <w:t>)</w:t>
            </w:r>
            <w:r w:rsidRPr="00A90524">
              <w:rPr>
                <w:rFonts w:ascii="Cambria" w:hAnsi="Cambria"/>
                <w:color w:val="00A9E0"/>
                <w:u w:val="single"/>
              </w:rPr>
              <w:t>.</w:t>
            </w:r>
            <w:r w:rsidRPr="00A90524">
              <w:rPr>
                <w:rFonts w:ascii="Cambria" w:hAnsi="Cambria"/>
              </w:rPr>
              <w:t> </w:t>
            </w:r>
            <w:r w:rsidRPr="00A90524">
              <w:rPr>
                <w:rFonts w:ascii="Cambria" w:hAnsi="Cambria"/>
                <w:sz w:val="20"/>
                <w:szCs w:val="20"/>
              </w:rPr>
              <w:t xml:space="preserve">Para efectos tributarios, todas las personas </w:t>
            </w:r>
            <w:r w:rsidRPr="00A90524">
              <w:rPr>
                <w:rFonts w:ascii="Cambria" w:hAnsi="Cambria"/>
                <w:sz w:val="20"/>
                <w:szCs w:val="20"/>
                <w:highlight w:val="yellow"/>
              </w:rPr>
              <w:t>naturales</w:t>
            </w:r>
            <w:r w:rsidRPr="00A90524">
              <w:rPr>
                <w:rFonts w:ascii="Cambria" w:hAnsi="Cambria"/>
                <w:sz w:val="20"/>
                <w:szCs w:val="20"/>
              </w:rPr>
              <w:t xml:space="preserve">, </w:t>
            </w:r>
            <w:r w:rsidRPr="00A90524">
              <w:rPr>
                <w:rFonts w:ascii="Cambria" w:hAnsi="Cambria"/>
                <w:sz w:val="20"/>
                <w:szCs w:val="20"/>
                <w:highlight w:val="yellow"/>
              </w:rPr>
              <w:t>jurídicas y</w:t>
            </w:r>
            <w:r w:rsidRPr="00A90524">
              <w:rPr>
                <w:rFonts w:ascii="Cambria" w:hAnsi="Cambria"/>
                <w:sz w:val="20"/>
                <w:szCs w:val="20"/>
              </w:rPr>
              <w:t xml:space="preserve"> entidades </w:t>
            </w:r>
            <w:r w:rsidRPr="0099148A">
              <w:rPr>
                <w:rFonts w:ascii="Cambria" w:hAnsi="Cambria"/>
                <w:sz w:val="20"/>
                <w:szCs w:val="20"/>
                <w:highlight w:val="yellow"/>
              </w:rPr>
              <w:t>estarán obligadas a</w:t>
            </w:r>
            <w:r w:rsidRPr="00A90524">
              <w:rPr>
                <w:rFonts w:ascii="Cambria" w:hAnsi="Cambria"/>
                <w:sz w:val="20"/>
                <w:szCs w:val="20"/>
              </w:rPr>
              <w:t xml:space="preserve"> expedir factura y/o documento equivalente, </w:t>
            </w:r>
            <w:r w:rsidRPr="0099148A">
              <w:rPr>
                <w:rFonts w:ascii="Cambria" w:hAnsi="Cambria"/>
                <w:sz w:val="20"/>
                <w:szCs w:val="20"/>
                <w:highlight w:val="yellow"/>
              </w:rPr>
              <w:t>por la venta de bienes y/o prestación de servicios</w:t>
            </w:r>
            <w:r w:rsidRPr="00A90524">
              <w:rPr>
                <w:rFonts w:ascii="Cambria" w:hAnsi="Cambria"/>
                <w:sz w:val="20"/>
                <w:szCs w:val="20"/>
              </w:rPr>
              <w:t xml:space="preserve"> y conservarla por cada una de las operaciones que realicen, independientemente de su calidad de contribuyentes o no contribuyentes de los impuestos administrados por la Dirección de Impuestos y Aduanas Nacionales -</w:t>
            </w:r>
            <w:r w:rsidRPr="0099148A">
              <w:rPr>
                <w:rFonts w:ascii="Cambria" w:hAnsi="Cambria"/>
                <w:sz w:val="20"/>
                <w:szCs w:val="20"/>
                <w:highlight w:val="yellow"/>
              </w:rPr>
              <w:t>DIAN.</w:t>
            </w:r>
            <w:r w:rsidRPr="00A90524">
              <w:rPr>
                <w:rFonts w:ascii="Cambria" w:hAnsi="Cambria"/>
                <w:sz w:val="20"/>
                <w:szCs w:val="20"/>
              </w:rPr>
              <w:t xml:space="preserve"> </w:t>
            </w:r>
          </w:p>
          <w:p w:rsidR="00A90524" w:rsidRDefault="00A90524" w:rsidP="00A90524">
            <w:pPr>
              <w:jc w:val="both"/>
              <w:rPr>
                <w:rFonts w:ascii="Cambria" w:hAnsi="Cambria"/>
                <w:sz w:val="20"/>
                <w:szCs w:val="20"/>
              </w:rPr>
            </w:pPr>
          </w:p>
          <w:p w:rsidR="00A90524" w:rsidRPr="00A90524" w:rsidRDefault="00A90524" w:rsidP="00A90524">
            <w:pPr>
              <w:jc w:val="both"/>
              <w:rPr>
                <w:rFonts w:ascii="Cambria" w:hAnsi="Cambria"/>
                <w:sz w:val="20"/>
                <w:szCs w:val="20"/>
              </w:rPr>
            </w:pPr>
            <w:r w:rsidRPr="0099148A">
              <w:rPr>
                <w:rFonts w:ascii="Cambria" w:hAnsi="Cambria"/>
                <w:sz w:val="20"/>
                <w:szCs w:val="20"/>
                <w:highlight w:val="yellow"/>
              </w:rPr>
              <w:t xml:space="preserve">De igual forma estarán obligados a facturar por la venta de bienes y/o prestación de servicios los establecimientos permanentes, los contratos de </w:t>
            </w:r>
            <w:r w:rsidRPr="0099148A">
              <w:rPr>
                <w:rFonts w:ascii="Cambria" w:hAnsi="Cambria"/>
                <w:sz w:val="20"/>
                <w:szCs w:val="20"/>
                <w:highlight w:val="yellow"/>
              </w:rPr>
              <w:lastRenderedPageBreak/>
              <w:t>colaboración empresarial que tengan una identificación tributaria en donde sus miembros designen esta responsabilidad en ellos o aquellos otros que designe el Gobierno nacional.</w:t>
            </w:r>
            <w:r w:rsidRPr="00A90524">
              <w:rPr>
                <w:rFonts w:ascii="Cambria" w:hAnsi="Cambria"/>
                <w:sz w:val="20"/>
                <w:szCs w:val="20"/>
              </w:rPr>
              <w:t xml:space="preserve"> </w:t>
            </w:r>
          </w:p>
          <w:p w:rsidR="0099148A" w:rsidRDefault="0099148A" w:rsidP="00A90524">
            <w:pPr>
              <w:jc w:val="both"/>
              <w:rPr>
                <w:rFonts w:ascii="Cambria" w:hAnsi="Cambria"/>
                <w:sz w:val="20"/>
                <w:szCs w:val="20"/>
              </w:rPr>
            </w:pPr>
          </w:p>
          <w:p w:rsidR="00A90524" w:rsidRPr="00A90524" w:rsidRDefault="00A90524" w:rsidP="00A90524">
            <w:pPr>
              <w:jc w:val="both"/>
              <w:rPr>
                <w:rFonts w:ascii="Cambria" w:hAnsi="Cambria"/>
                <w:color w:val="454545"/>
                <w:sz w:val="20"/>
                <w:szCs w:val="20"/>
              </w:rPr>
            </w:pPr>
            <w:r w:rsidRPr="0099148A">
              <w:rPr>
                <w:rFonts w:ascii="Cambria" w:hAnsi="Cambria"/>
                <w:sz w:val="20"/>
                <w:szCs w:val="20"/>
                <w:highlight w:val="yellow"/>
              </w:rPr>
              <w:t>Lo anterior, excepto lo previsto en el artículo 616-2 de este estatuto.</w:t>
            </w:r>
          </w:p>
          <w:p w:rsidR="00A90524" w:rsidRPr="00A90524" w:rsidRDefault="00A90524" w:rsidP="00A90524">
            <w:pPr>
              <w:jc w:val="both"/>
              <w:rPr>
                <w:rFonts w:ascii="Cambria" w:hAnsi="Cambria"/>
                <w:color w:val="454545"/>
                <w:sz w:val="20"/>
                <w:szCs w:val="20"/>
              </w:rPr>
            </w:pPr>
            <w:r w:rsidRPr="00A90524">
              <w:rPr>
                <w:rFonts w:ascii="Cambria" w:hAnsi="Cambria"/>
                <w:color w:val="454545"/>
                <w:sz w:val="20"/>
                <w:szCs w:val="20"/>
              </w:rPr>
              <w:t xml:space="preserve"> </w:t>
            </w:r>
          </w:p>
          <w:p w:rsidR="00A90524" w:rsidRDefault="00A90524" w:rsidP="00A90524">
            <w:pPr>
              <w:jc w:val="both"/>
              <w:rPr>
                <w:rFonts w:ascii="Cambria" w:hAnsi="Cambria"/>
                <w:sz w:val="20"/>
                <w:szCs w:val="20"/>
                <w:highlight w:val="yellow"/>
              </w:rPr>
            </w:pPr>
            <w:r w:rsidRPr="00A90524">
              <w:rPr>
                <w:rStyle w:val="baj"/>
                <w:rFonts w:ascii="Cambria" w:hAnsi="Cambria"/>
                <w:b/>
                <w:bCs/>
                <w:color w:val="343536"/>
                <w:spacing w:val="2"/>
                <w:sz w:val="20"/>
                <w:szCs w:val="20"/>
              </w:rPr>
              <w:t>PARAGRAFO.</w:t>
            </w:r>
            <w:r w:rsidRPr="00A90524">
              <w:rPr>
                <w:rFonts w:ascii="Cambria" w:hAnsi="Cambria"/>
                <w:sz w:val="20"/>
                <w:szCs w:val="20"/>
              </w:rPr>
              <w:t xml:space="preserve">  </w:t>
            </w:r>
            <w:r w:rsidR="0099148A" w:rsidRPr="0099148A">
              <w:rPr>
                <w:rFonts w:ascii="Cambria" w:hAnsi="Cambria"/>
                <w:sz w:val="20"/>
                <w:szCs w:val="20"/>
                <w:highlight w:val="yellow"/>
              </w:rPr>
              <w:t>La expedición de la factura o documentos equivalentes físicos tendrá validez únicamente en los casos que determine la Dirección de Impuestos y Aduanas Nacionales -DIAN.</w:t>
            </w:r>
          </w:p>
          <w:p w:rsidR="0099148A" w:rsidRPr="0099148A" w:rsidRDefault="0099148A" w:rsidP="00A90524">
            <w:pPr>
              <w:jc w:val="both"/>
              <w:rPr>
                <w:rFonts w:ascii="Cambria" w:hAnsi="Cambria"/>
                <w:sz w:val="20"/>
                <w:szCs w:val="20"/>
                <w:highlight w:val="yellow"/>
              </w:rPr>
            </w:pPr>
          </w:p>
          <w:p w:rsidR="00A90524" w:rsidRDefault="00A90524" w:rsidP="00A90524">
            <w:pPr>
              <w:jc w:val="both"/>
              <w:rPr>
                <w:rFonts w:ascii="Cambria" w:hAnsi="Cambria"/>
                <w:sz w:val="20"/>
                <w:szCs w:val="20"/>
              </w:rPr>
            </w:pPr>
            <w:r w:rsidRPr="00A90524">
              <w:rPr>
                <w:rStyle w:val="baj"/>
                <w:rFonts w:ascii="Cambria" w:hAnsi="Cambria"/>
                <w:b/>
                <w:bCs/>
                <w:color w:val="343536"/>
                <w:spacing w:val="2"/>
                <w:sz w:val="20"/>
                <w:szCs w:val="20"/>
              </w:rPr>
              <w:t>PARAGRAFO 2o.</w:t>
            </w:r>
            <w:r w:rsidRPr="00A90524">
              <w:rPr>
                <w:rFonts w:ascii="Cambria" w:hAnsi="Cambria"/>
                <w:sz w:val="20"/>
                <w:szCs w:val="20"/>
              </w:rPr>
              <w:t>  Quienes tengan la calidad de agentes de retención del impuesto sobre las ventas, deberán expedir un certificado bimestral que cumpla los requisitos de que trata el artículo </w:t>
            </w:r>
            <w:r w:rsidRPr="00A90524">
              <w:rPr>
                <w:rFonts w:ascii="Cambria" w:hAnsi="Cambria"/>
                <w:spacing w:val="2"/>
                <w:sz w:val="20"/>
                <w:szCs w:val="20"/>
              </w:rPr>
              <w:t>381</w:t>
            </w:r>
            <w:r w:rsidRPr="00A90524">
              <w:rPr>
                <w:rFonts w:ascii="Cambria" w:hAnsi="Cambria"/>
                <w:sz w:val="20"/>
                <w:szCs w:val="20"/>
              </w:rPr>
              <w:t> del Estatuto Tributario. A solicitud del beneficiario del pago, el agente de retención expedirá un certificado por cada retención efectuada, el cual deberá contener las mismas especificaciones del certificado bimestral.</w:t>
            </w:r>
          </w:p>
          <w:p w:rsidR="00A90524" w:rsidRPr="00A90524" w:rsidRDefault="00A90524" w:rsidP="00A90524">
            <w:pPr>
              <w:jc w:val="both"/>
              <w:rPr>
                <w:rFonts w:ascii="Cambria" w:hAnsi="Cambria"/>
                <w:sz w:val="20"/>
                <w:szCs w:val="20"/>
              </w:rPr>
            </w:pPr>
          </w:p>
          <w:p w:rsidR="00A90524" w:rsidRPr="00A90524" w:rsidRDefault="00A90524" w:rsidP="00A90524">
            <w:pPr>
              <w:jc w:val="both"/>
              <w:rPr>
                <w:rFonts w:ascii="Cambria" w:hAnsi="Cambria"/>
                <w:sz w:val="20"/>
                <w:szCs w:val="20"/>
              </w:rPr>
            </w:pPr>
            <w:r w:rsidRPr="00A90524">
              <w:rPr>
                <w:rFonts w:ascii="Cambria" w:hAnsi="Cambria"/>
                <w:sz w:val="20"/>
                <w:szCs w:val="20"/>
              </w:rPr>
              <w:t>En los demás aspectos se aplicarán las previsiones de los parágrafos 1o. y 2o. del artículo </w:t>
            </w:r>
            <w:r w:rsidRPr="00A90524">
              <w:rPr>
                <w:rFonts w:ascii="Cambria" w:hAnsi="Cambria"/>
                <w:spacing w:val="2"/>
                <w:sz w:val="20"/>
                <w:szCs w:val="20"/>
              </w:rPr>
              <w:t>381</w:t>
            </w:r>
            <w:r w:rsidRPr="00A90524">
              <w:rPr>
                <w:rFonts w:ascii="Cambria" w:hAnsi="Cambria"/>
                <w:sz w:val="20"/>
                <w:szCs w:val="20"/>
              </w:rPr>
              <w:t> del Estatuto Tributario.</w:t>
            </w:r>
          </w:p>
          <w:p w:rsidR="00A90524" w:rsidRPr="00A90524" w:rsidRDefault="00A90524" w:rsidP="00A90524">
            <w:pPr>
              <w:jc w:val="both"/>
              <w:rPr>
                <w:rFonts w:ascii="Cambria" w:hAnsi="Cambria"/>
                <w:b/>
                <w:bCs/>
                <w:color w:val="000000" w:themeColor="text1"/>
                <w:sz w:val="20"/>
                <w:szCs w:val="20"/>
              </w:rPr>
            </w:pPr>
          </w:p>
        </w:tc>
      </w:tr>
      <w:tr w:rsidR="0099148A" w:rsidTr="0059378C">
        <w:tc>
          <w:tcPr>
            <w:tcW w:w="4958" w:type="dxa"/>
          </w:tcPr>
          <w:p w:rsidR="0099148A" w:rsidRDefault="0099148A" w:rsidP="0099148A">
            <w:pPr>
              <w:jc w:val="both"/>
              <w:rPr>
                <w:rFonts w:ascii="Cambria" w:hAnsi="Cambria"/>
                <w:color w:val="454545"/>
                <w:sz w:val="20"/>
                <w:szCs w:val="20"/>
              </w:rPr>
            </w:pPr>
            <w:bookmarkStart w:id="35" w:name="616-1"/>
            <w:r w:rsidRPr="0099148A">
              <w:rPr>
                <w:rStyle w:val="baj"/>
                <w:rFonts w:ascii="Cambria" w:hAnsi="Cambria"/>
                <w:b/>
                <w:bCs/>
                <w:color w:val="000000" w:themeColor="text1"/>
                <w:spacing w:val="2"/>
                <w:sz w:val="20"/>
                <w:szCs w:val="20"/>
              </w:rPr>
              <w:lastRenderedPageBreak/>
              <w:t>Artículo 616-1. Sistema de facturación</w:t>
            </w:r>
            <w:r w:rsidRPr="0099148A">
              <w:rPr>
                <w:rStyle w:val="baj"/>
                <w:rFonts w:ascii="Cambria" w:hAnsi="Cambria"/>
                <w:color w:val="00A9E0"/>
                <w:spacing w:val="2"/>
                <w:sz w:val="20"/>
                <w:szCs w:val="20"/>
                <w:u w:val="single"/>
              </w:rPr>
              <w:t>.</w:t>
            </w:r>
            <w:bookmarkEnd w:id="35"/>
            <w:r w:rsidRPr="0099148A">
              <w:rPr>
                <w:rStyle w:val="baj"/>
                <w:rFonts w:ascii="Cambria" w:hAnsi="Cambria"/>
                <w:b/>
                <w:bCs/>
                <w:color w:val="343536"/>
                <w:spacing w:val="2"/>
                <w:sz w:val="20"/>
                <w:szCs w:val="20"/>
              </w:rPr>
              <w:t> </w:t>
            </w:r>
            <w:r w:rsidRPr="0099148A">
              <w:rPr>
                <w:rFonts w:ascii="Cambria" w:hAnsi="Cambria"/>
                <w:sz w:val="20"/>
                <w:szCs w:val="20"/>
              </w:rPr>
              <w:t xml:space="preserve"> El sistema de facturación comprende la factura de venta y los documentos equivalentes. Así mismo, hacen parte del sistema de factura todos los documentos electrónicos que sean determinados por la Unidad Administrativa Especial Dirección de Impuestos y Aduanas Nacionales (DIAN), y que puedan servir para el ejercicio de control de la autoridad tributaria y aduanera, de soporte de las declaraciones tributarias o aduaneras y/o de soporte de los trámites que se adelanten ante la Unidad Administrativa Especial Dirección de Impuestos y Aduanas Nacionales (DIAN), quien establecerá las características, condiciones, plazos, términos y mecanismos técnicos y tecnológicos para la interoperabilidad, interacción, generación, numeración, transmisión, validación, expedición y entrega.</w:t>
            </w:r>
          </w:p>
          <w:p w:rsid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color w:val="454545"/>
              </w:rPr>
            </w:pPr>
          </w:p>
          <w:p w:rsidR="0099148A" w:rsidRPr="0099148A" w:rsidRDefault="0099148A" w:rsidP="0099148A">
            <w:pPr>
              <w:jc w:val="both"/>
              <w:rPr>
                <w:rFonts w:ascii="Cambria" w:hAnsi="Cambria"/>
                <w:color w:val="454545"/>
                <w:sz w:val="20"/>
                <w:szCs w:val="20"/>
              </w:rPr>
            </w:pPr>
          </w:p>
          <w:p w:rsidR="0099148A" w:rsidRDefault="0099148A" w:rsidP="0099148A">
            <w:pPr>
              <w:jc w:val="both"/>
              <w:rPr>
                <w:rFonts w:ascii="Cambria" w:hAnsi="Cambria"/>
                <w:sz w:val="20"/>
                <w:szCs w:val="20"/>
              </w:rPr>
            </w:pPr>
            <w:r w:rsidRPr="0099148A">
              <w:rPr>
                <w:rFonts w:ascii="Cambria" w:hAnsi="Cambria"/>
                <w:sz w:val="20"/>
                <w:szCs w:val="20"/>
              </w:rPr>
              <w:t>Todos los documentos electrónicos que hacen parte del sistema de facturación, en lo que sea compatible con su naturaleza, deberán cumplir con las condiciones establecidas en el Estatuto Tributario o la ley que los regula, así como las condiciones establecidas por la Unidad Administrativa Especial Dirección de Impuestos y Aduanas Nacionales (DIAN), de acuerdo con el inciso primero del presente artículo.</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color w:val="454545"/>
                <w:sz w:val="20"/>
                <w:szCs w:val="20"/>
              </w:rPr>
            </w:pPr>
            <w:r w:rsidRPr="0099148A">
              <w:rPr>
                <w:rFonts w:ascii="Cambria" w:hAnsi="Cambria"/>
                <w:sz w:val="20"/>
                <w:szCs w:val="20"/>
              </w:rPr>
              <w:t>Salvo que exista una sanción específica, la no transmisión en debida forma de los documentos del sistema de facturación dará lugar a la sanción establecida en el artículo </w:t>
            </w:r>
            <w:r w:rsidRPr="0099148A">
              <w:rPr>
                <w:rFonts w:ascii="Cambria" w:hAnsi="Cambria"/>
                <w:spacing w:val="2"/>
                <w:sz w:val="20"/>
                <w:szCs w:val="20"/>
              </w:rPr>
              <w:t>651</w:t>
            </w:r>
            <w:r w:rsidRPr="0099148A">
              <w:rPr>
                <w:rFonts w:ascii="Cambria" w:hAnsi="Cambria"/>
                <w:sz w:val="20"/>
                <w:szCs w:val="20"/>
              </w:rPr>
              <w:t> del Estatuto Tributario. La expedición de los documentos que hacen parte del sistema de facturación sin los requisitos establecidos dará lugar a la sanción establecida en el artículo </w:t>
            </w:r>
            <w:r w:rsidRPr="0099148A">
              <w:rPr>
                <w:rFonts w:ascii="Cambria" w:hAnsi="Cambria"/>
                <w:spacing w:val="2"/>
                <w:sz w:val="20"/>
                <w:szCs w:val="20"/>
              </w:rPr>
              <w:t>652</w:t>
            </w:r>
            <w:r w:rsidRPr="0099148A">
              <w:rPr>
                <w:rFonts w:ascii="Cambria" w:hAnsi="Cambria"/>
                <w:sz w:val="20"/>
                <w:szCs w:val="20"/>
              </w:rPr>
              <w:t> del Estatuto Tributario y la no expedición de los documentos que hacen parte del sistema de facturación dará lugar a la sanción prevista en el artículo </w:t>
            </w:r>
            <w:r w:rsidRPr="0099148A">
              <w:rPr>
                <w:rFonts w:ascii="Cambria" w:hAnsi="Cambria"/>
                <w:spacing w:val="2"/>
                <w:sz w:val="20"/>
                <w:szCs w:val="20"/>
              </w:rPr>
              <w:t>652-1</w:t>
            </w:r>
            <w:r w:rsidRPr="0099148A">
              <w:rPr>
                <w:rFonts w:ascii="Cambria" w:hAnsi="Cambria"/>
                <w:sz w:val="20"/>
                <w:szCs w:val="20"/>
              </w:rPr>
              <w:t> del Estatuto Tributario.</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La factura de venta de talonario o de papel y la factura electrónica de venta se consideran para todos los efectos como una factura de venta. La factura de talonario o de papel, solo tendrá validez en los casos en que el sujeto obligado a facturar presente inconvenientes tecnológicos que le imposibiliten facturar electrónicamente. Los documentos equivalentes a la factura de venta corresponden a aquellos que señale el Director General de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Fonts w:ascii="Cambria" w:hAnsi="Cambria"/>
                <w:sz w:val="20"/>
                <w:szCs w:val="20"/>
              </w:rPr>
              <w:t>Todas las facturas electrónicas de venta para su reconocimiento tributario deben ser validadas previo a su expedición, por la Unidad Administrativa Especial Dirección de Impuestos y Aduanas Nacionales (DIAN).</w:t>
            </w:r>
          </w:p>
          <w:p w:rsidR="0099148A" w:rsidRDefault="0099148A" w:rsidP="0099148A">
            <w:pPr>
              <w:jc w:val="both"/>
              <w:rPr>
                <w:rFonts w:ascii="Cambria" w:hAnsi="Cambria"/>
                <w:sz w:val="20"/>
                <w:szCs w:val="20"/>
              </w:rPr>
            </w:pPr>
            <w:r w:rsidRPr="0099148A">
              <w:rPr>
                <w:rFonts w:ascii="Cambria" w:hAnsi="Cambria"/>
                <w:sz w:val="20"/>
                <w:szCs w:val="20"/>
              </w:rPr>
              <w:t>La factura electrónica de venta solo se entenderá expedida cuando sea validada y entregada al adquirente, cumpliendo además con las condiciones, los términos y los mecanismos técnicos y tecnológicos establecidos por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Fonts w:ascii="Cambria" w:hAnsi="Cambria"/>
                <w:sz w:val="20"/>
                <w:szCs w:val="20"/>
              </w:rPr>
              <w:t>Sin perjuicio de lo anterior, cuando no pueda llevarse a cabo la validación previa de la factura electrónica de venta, por razones tecnológicas atribuibles a la Unidad Administrativa Especial Dirección de Impuestos y Aduanas Nacionales (DIAN), el obligado a facturar está facultado para expedir y entregar al adquirente la factura electrónica de venta sin validación previa. En estos casos, la factura se entenderá expedida con la entrega al adquirente y deberá ser enviada a la Unidad Administrativa Especial Dirección de Impuestos y Aduanas Nacionales (DIAN), para cumplir con la transmisión dentro de las cuarenta y ocho (48) horas siguientes, contadas a partir del momento en que se solucionen los inconvenientes tecnológicos.</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Fonts w:ascii="Cambria" w:hAnsi="Cambria"/>
                <w:sz w:val="20"/>
                <w:szCs w:val="20"/>
              </w:rPr>
              <w:t xml:space="preserve">En todos los casos, la responsabilidad de la entrega de la factura electrónica de venta para su validación, así como la expedición y entrega al adquiriente, una vez validada, </w:t>
            </w:r>
            <w:r w:rsidRPr="0099148A">
              <w:rPr>
                <w:rFonts w:ascii="Cambria" w:hAnsi="Cambria"/>
                <w:sz w:val="20"/>
                <w:szCs w:val="20"/>
              </w:rPr>
              <w:lastRenderedPageBreak/>
              <w:t>corresponde al obligado a facturar. Las plataformas de comercio electrónico deberán poner a disposición un servicio que permita la expedición y entrega de la factura electrónica de venta por parte de sus usuarios al consumidor final.</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color w:val="454545"/>
                <w:sz w:val="20"/>
                <w:szCs w:val="20"/>
              </w:rPr>
            </w:pPr>
            <w:r w:rsidRPr="0099148A">
              <w:rPr>
                <w:rFonts w:ascii="Cambria" w:hAnsi="Cambria"/>
                <w:sz w:val="20"/>
                <w:szCs w:val="20"/>
              </w:rPr>
              <w:t xml:space="preserve">La validación de las facturas electrónicas de venta de </w:t>
            </w:r>
            <w:proofErr w:type="spellStart"/>
            <w:r w:rsidRPr="0099148A">
              <w:rPr>
                <w:rFonts w:ascii="Cambria" w:hAnsi="Cambria"/>
                <w:sz w:val="20"/>
                <w:szCs w:val="20"/>
              </w:rPr>
              <w:t>que</w:t>
            </w:r>
            <w:proofErr w:type="spellEnd"/>
            <w:r w:rsidRPr="0099148A">
              <w:rPr>
                <w:rFonts w:ascii="Cambria" w:hAnsi="Cambria"/>
                <w:sz w:val="20"/>
                <w:szCs w:val="20"/>
              </w:rPr>
              <w:t xml:space="preserve"> trata este artículo no excluye las amplias facultades de fiscalización y control de la Administración Tributaria.</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color w:val="454545"/>
                <w:sz w:val="20"/>
                <w:szCs w:val="20"/>
              </w:rPr>
            </w:pPr>
            <w:r w:rsidRPr="0099148A">
              <w:rPr>
                <w:rFonts w:ascii="Cambria" w:hAnsi="Cambria"/>
                <w:sz w:val="20"/>
                <w:szCs w:val="20"/>
              </w:rPr>
              <w:t>Para efectos del control, cuando la venta de un bien y/o prestación del servicio se realice a través de una factura electrónica de venta y la citada operación sea a crédito o de la misma se otorgue un plazo para el pago, el adquirente deberá confirmar el recibido de la factura electrónica de venta y de los bienes o servicios adquiridos mediante mensaje electrónico remitido al emisor para la expedición de la misma, atendiendo a los plazos establecidos en las disposiciones que regulan la materia, así como las condiciones, mecanismos, requisitos técnicos y tecnológicos establecidos por la Unidad Administrativa Especial Dirección de Impuestos y Aduanas Nacionales (DIAN). En aquellos casos en que el adquirente remita al emisor el mensaje electrónico de confirmación de recibido de la factura electrónica de venta y el mensaje electrónico del recibido de los bienes o servicios adquiridos, habrá lugar a que dicha factura electrónica de venta se constituya en soporte de costos, deducciones e impuestos descontables</w:t>
            </w:r>
            <w:r>
              <w:rPr>
                <w:rFonts w:ascii="Cambria" w:hAnsi="Cambria"/>
                <w:sz w:val="20"/>
                <w:szCs w:val="20"/>
              </w:rPr>
              <w:t>.</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Adicionalmente, para la procedencia de costos y deducciones en el impuesto sobre la renta, así como de los impuestos descontables en el impuesto sobre las ventas, se requerirá de factura de venta, documento equivalente y/o los documentos previstos en el presente artículo.</w:t>
            </w:r>
          </w:p>
          <w:p w:rsid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1o. </w:t>
            </w:r>
            <w:r w:rsidRPr="0099148A">
              <w:rPr>
                <w:rFonts w:ascii="Cambria" w:hAnsi="Cambria"/>
                <w:sz w:val="20"/>
                <w:szCs w:val="20"/>
              </w:rPr>
              <w:t>La Unidad Administrativa Especial Dirección de Impuestos y Aduanas Nacionales (DIAN), reglamentará los sistemas de facturación establecidos en este artículo determinando, entre otros, sus requisitos especiales, las definiciones, características, condiciones, obligaciones formales e información a suministrar, términos y mecanismos técnicos y tecnológicos aplicables, la interacción de los sistemas de facturación con otros inventarios, sistemas de pago, impuestos y contabilidad e información tributaria legalmente exigida, así como los calendarios para su implementación.</w:t>
            </w:r>
          </w:p>
          <w:p w:rsidR="0099148A" w:rsidRDefault="0099148A" w:rsidP="0099148A">
            <w:pPr>
              <w:jc w:val="both"/>
              <w:rPr>
                <w:rFonts w:ascii="Cambria" w:hAnsi="Cambria"/>
                <w:color w:val="454545"/>
                <w:sz w:val="20"/>
                <w:szCs w:val="20"/>
              </w:rPr>
            </w:pPr>
          </w:p>
          <w:p w:rsidR="00852E78" w:rsidRDefault="00852E78" w:rsidP="0099148A">
            <w:pPr>
              <w:jc w:val="both"/>
              <w:rPr>
                <w:rFonts w:ascii="Cambria" w:hAnsi="Cambria"/>
                <w:color w:val="454545"/>
                <w:sz w:val="20"/>
                <w:szCs w:val="20"/>
              </w:rPr>
            </w:pPr>
          </w:p>
          <w:p w:rsidR="00852E78" w:rsidRDefault="00852E78" w:rsidP="0099148A">
            <w:pPr>
              <w:jc w:val="both"/>
              <w:rPr>
                <w:rFonts w:ascii="Cambria" w:hAnsi="Cambria"/>
                <w:color w:val="454545"/>
                <w:sz w:val="20"/>
                <w:szCs w:val="20"/>
              </w:rPr>
            </w:pPr>
          </w:p>
          <w:p w:rsidR="00852E78" w:rsidRPr="0099148A" w:rsidRDefault="00852E78" w:rsidP="0099148A">
            <w:pPr>
              <w:jc w:val="both"/>
              <w:rPr>
                <w:rFonts w:ascii="Cambria" w:hAnsi="Cambria"/>
                <w:color w:val="454545"/>
                <w:sz w:val="20"/>
                <w:szCs w:val="20"/>
              </w:rPr>
            </w:pPr>
          </w:p>
          <w:p w:rsidR="0099148A" w:rsidRPr="0099148A" w:rsidRDefault="0099148A" w:rsidP="0099148A">
            <w:pPr>
              <w:jc w:val="both"/>
              <w:rPr>
                <w:rFonts w:ascii="Cambria" w:hAnsi="Cambria"/>
                <w:sz w:val="20"/>
                <w:szCs w:val="20"/>
                <w:highlight w:val="yellow"/>
              </w:rPr>
            </w:pPr>
            <w:r w:rsidRPr="0099148A">
              <w:rPr>
                <w:rStyle w:val="baj"/>
                <w:rFonts w:ascii="Cambria" w:hAnsi="Cambria"/>
                <w:b/>
                <w:bCs/>
                <w:color w:val="343536"/>
                <w:spacing w:val="2"/>
                <w:sz w:val="20"/>
                <w:szCs w:val="20"/>
                <w:highlight w:val="yellow"/>
              </w:rPr>
              <w:t>PARÁGRAFO 2o. </w:t>
            </w:r>
            <w:r w:rsidRPr="0099148A">
              <w:rPr>
                <w:rFonts w:ascii="Cambria" w:hAnsi="Cambria"/>
                <w:sz w:val="20"/>
                <w:szCs w:val="20"/>
                <w:highlight w:val="yellow"/>
              </w:rPr>
              <w:t>Los documentos equivalentes generados por máquinas registradoras con sistema POS, no otorgan derecho a impuestos descontables en el impuesto sobre las ventas (IVA), ni a costos y deducciones en el impuesto sobre la renta y complementarios para el adquiriente. No obstante, los adquirientes podrán solicitar al obligado a expedir factura de venta, cuando en virtud de su actividad económica tengan derecho a solicitar impuestos descontables, costos y deducciones.</w:t>
            </w:r>
          </w:p>
          <w:p w:rsidR="0099148A" w:rsidRPr="0099148A" w:rsidRDefault="0099148A" w:rsidP="0099148A">
            <w:pPr>
              <w:jc w:val="both"/>
              <w:rPr>
                <w:rFonts w:ascii="Cambria" w:hAnsi="Cambria"/>
                <w:sz w:val="20"/>
                <w:szCs w:val="20"/>
                <w:highlight w:val="yellow"/>
              </w:rPr>
            </w:pPr>
          </w:p>
          <w:p w:rsidR="0099148A" w:rsidRPr="0099148A" w:rsidRDefault="0099148A" w:rsidP="0099148A">
            <w:pPr>
              <w:jc w:val="both"/>
              <w:rPr>
                <w:rFonts w:ascii="Cambria" w:hAnsi="Cambria"/>
                <w:color w:val="454545"/>
                <w:sz w:val="20"/>
                <w:szCs w:val="20"/>
                <w:highlight w:val="yellow"/>
              </w:rPr>
            </w:pPr>
            <w:r w:rsidRPr="0099148A">
              <w:rPr>
                <w:rFonts w:ascii="Cambria" w:hAnsi="Cambria"/>
                <w:sz w:val="20"/>
                <w:szCs w:val="20"/>
                <w:highlight w:val="yellow"/>
              </w:rPr>
              <w:t>El tiquete de máquina registradora con sistema POS, lo podrán expedir los sujetos obligados a facturar, siempre que la venta del bien y/o prestación del servicio que se registre en el mismo no supere cinco (5) UVT, por cada documento equivalente POS, que se expida, sin incluir el importe de ningún impuesto. Lo anterior, sin perjuicio de que el adquiriente del bien y/o servicio exija la expedición de la factura de venta, caso en el cual se deberá expedir la misma. Lo anterior será aplicable de conformidad con el calendario que para tal efecto expida la Unidad Administrativa Especial Dirección de Impuestos y Aduanas Nacionales (DIAN).</w:t>
            </w:r>
          </w:p>
          <w:p w:rsidR="0099148A" w:rsidRPr="0099148A" w:rsidRDefault="0099148A" w:rsidP="0099148A">
            <w:pPr>
              <w:jc w:val="both"/>
              <w:rPr>
                <w:rFonts w:ascii="Cambria" w:hAnsi="Cambria"/>
                <w:color w:val="454545"/>
                <w:sz w:val="20"/>
                <w:szCs w:val="20"/>
                <w:highlight w:val="yellow"/>
              </w:rPr>
            </w:pPr>
            <w:r w:rsidRPr="0099148A">
              <w:rPr>
                <w:rFonts w:ascii="Cambria" w:hAnsi="Cambria"/>
                <w:color w:val="454545"/>
                <w:sz w:val="20"/>
                <w:szCs w:val="20"/>
                <w:highlight w:val="yellow"/>
              </w:rPr>
              <w:t xml:space="preserve"> </w:t>
            </w:r>
          </w:p>
          <w:p w:rsidR="0099148A" w:rsidRDefault="0099148A" w:rsidP="0099148A">
            <w:pPr>
              <w:jc w:val="both"/>
              <w:rPr>
                <w:rFonts w:ascii="Cambria" w:hAnsi="Cambria"/>
                <w:color w:val="454545"/>
                <w:sz w:val="20"/>
                <w:szCs w:val="20"/>
              </w:rPr>
            </w:pPr>
            <w:r w:rsidRPr="0099148A">
              <w:rPr>
                <w:rStyle w:val="baj"/>
                <w:rFonts w:ascii="Cambria" w:hAnsi="Cambria"/>
                <w:b/>
                <w:bCs/>
                <w:color w:val="343536"/>
                <w:spacing w:val="2"/>
                <w:sz w:val="20"/>
                <w:szCs w:val="20"/>
                <w:highlight w:val="yellow"/>
              </w:rPr>
              <w:t>PARÁGRAFO 3o. </w:t>
            </w:r>
            <w:r w:rsidRPr="0099148A">
              <w:rPr>
                <w:rFonts w:ascii="Cambria" w:hAnsi="Cambria"/>
                <w:sz w:val="20"/>
                <w:szCs w:val="20"/>
                <w:highlight w:val="yellow"/>
              </w:rPr>
              <w:t>La plataforma de factura electrónica de la Unidad Administrativa Especial Dirección de Impuestos y Aduanas Nacionales (DIAN), incluirá el registro de las facturas electrónicas consideradas como título valor que circulen en el territorio nacional y permitirá su consulta y trazabilidad. Las entidades autorizadas para realizar actividades de factoraje tendrán que desarrollar y adaptar sus sistemas tecnológicos a aquellos de la Unidad Administrativa Especial Dirección de Impuestos y Aduanas Nacionales (DIAN).</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Para efectos de que se materialice la transferencia de derechos económicos contenidos en una factura electrónica que sea un título valor, el enajenante, cedente o endosatario deberá inscribir en el Registro de las Facturas Electrónicas de Venta administrado por la Unidad Administrativa Especial Dirección de Impuestos y Aduanas Nacionales (DIAN), - RADIAN la transacción realizada. Hasta tanto no se realice el registro de las operaciones en el RADIAN, no se hará efectiva la correspondiente cesión de derechos. Respecto de lo anterior, la Unidad Administrativa Especial Dirección de Impuestos y Aduanas Nacionales (DIAN), establecerá las características, condiciones, plazos, términos y mecanismos técnicos y tecnológicos.</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Fonts w:ascii="Cambria" w:hAnsi="Cambria"/>
                <w:sz w:val="20"/>
                <w:szCs w:val="20"/>
              </w:rPr>
              <w:t xml:space="preserve">Los sujetos no obligados a expedir factura podrán registrarse como facturadores electrónicos para poder </w:t>
            </w:r>
            <w:r w:rsidRPr="0099148A">
              <w:rPr>
                <w:rFonts w:ascii="Cambria" w:hAnsi="Cambria"/>
                <w:sz w:val="20"/>
                <w:szCs w:val="20"/>
              </w:rPr>
              <w:lastRenderedPageBreak/>
              <w:t>participar en RADIAN, sin que para ellos implique la obligación de expedir factura de venta y/o documento equivalente, y por tanto conservan su calidad de ser sujetos no obligados a expedir tales documentos. La Unidad Administrativa Especial Dirección de Impuestos y Aduanas Nacionales (DIAN), establecerá las características, condiciones, plazos, términos y mecanismos técnicos y tecnológicos para estos efectos.</w:t>
            </w:r>
          </w:p>
          <w:p w:rsidR="0099148A" w:rsidRDefault="0099148A" w:rsidP="0099148A">
            <w:pPr>
              <w:jc w:val="both"/>
              <w:rPr>
                <w:rFonts w:ascii="Cambria" w:hAnsi="Cambria"/>
                <w:sz w:val="20"/>
                <w:szCs w:val="20"/>
              </w:rPr>
            </w:pPr>
            <w:r w:rsidRPr="0099148A">
              <w:rPr>
                <w:rFonts w:ascii="Cambria" w:hAnsi="Cambria"/>
                <w:sz w:val="20"/>
                <w:szCs w:val="20"/>
              </w:rPr>
              <w:t>El Gobierno nacional reglamentará la circulación de las facturas electrónicas.</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4o. </w:t>
            </w:r>
            <w:r w:rsidRPr="0099148A">
              <w:rPr>
                <w:rFonts w:ascii="Cambria" w:hAnsi="Cambria"/>
                <w:sz w:val="20"/>
                <w:szCs w:val="20"/>
              </w:rPr>
              <w:t>El sistema de facturación a que se refiere el presente artículo será aplicable a otras operaciones que determine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TRANSITORIO.</w:t>
            </w:r>
            <w:r w:rsidRPr="0099148A">
              <w:rPr>
                <w:rFonts w:ascii="Cambria" w:hAnsi="Cambria"/>
                <w:sz w:val="20"/>
                <w:szCs w:val="20"/>
              </w:rPr>
              <w:t> Mientras se expide la reglamentación del sistema de facturación aplicarán las disposiciones que regulan la materia antes de la entrada en vigencia de la presente ley.</w:t>
            </w:r>
          </w:p>
          <w:p w:rsidR="0099148A" w:rsidRPr="0099148A" w:rsidRDefault="0099148A" w:rsidP="0099148A">
            <w:pPr>
              <w:jc w:val="both"/>
              <w:rPr>
                <w:rFonts w:ascii="Cambria" w:hAnsi="Cambria"/>
                <w:b/>
                <w:bCs/>
                <w:color w:val="000000" w:themeColor="text1"/>
                <w:sz w:val="20"/>
                <w:szCs w:val="20"/>
              </w:rPr>
            </w:pPr>
          </w:p>
        </w:tc>
        <w:tc>
          <w:tcPr>
            <w:tcW w:w="4865" w:type="dxa"/>
          </w:tcPr>
          <w:p w:rsidR="0099148A" w:rsidRDefault="0099148A" w:rsidP="0099148A">
            <w:pPr>
              <w:jc w:val="both"/>
              <w:rPr>
                <w:rFonts w:ascii="Cambria" w:hAnsi="Cambria"/>
                <w:color w:val="454545"/>
                <w:sz w:val="20"/>
                <w:szCs w:val="20"/>
              </w:rPr>
            </w:pPr>
            <w:r w:rsidRPr="0099148A">
              <w:rPr>
                <w:rStyle w:val="baj"/>
                <w:rFonts w:ascii="Cambria" w:hAnsi="Cambria"/>
                <w:b/>
                <w:bCs/>
                <w:color w:val="000000" w:themeColor="text1"/>
                <w:spacing w:val="2"/>
                <w:sz w:val="20"/>
                <w:szCs w:val="20"/>
              </w:rPr>
              <w:lastRenderedPageBreak/>
              <w:t>Artículo 616-1. Sistema de facturación</w:t>
            </w:r>
            <w:r>
              <w:rPr>
                <w:rStyle w:val="baj"/>
                <w:rFonts w:ascii="Cambria" w:hAnsi="Cambria"/>
                <w:b/>
                <w:bCs/>
                <w:color w:val="000000" w:themeColor="text1"/>
                <w:spacing w:val="2"/>
                <w:sz w:val="20"/>
                <w:szCs w:val="20"/>
              </w:rPr>
              <w:t xml:space="preserve"> </w:t>
            </w:r>
            <w:r>
              <w:rPr>
                <w:rFonts w:ascii="Cambria" w:hAnsi="Cambria"/>
                <w:b/>
                <w:bCs/>
                <w:color w:val="000000" w:themeColor="text1"/>
                <w:sz w:val="20"/>
                <w:szCs w:val="20"/>
              </w:rPr>
              <w:t>(</w:t>
            </w:r>
            <w:r w:rsidRPr="00281C2B">
              <w:rPr>
                <w:rStyle w:val="iaj"/>
                <w:rFonts w:ascii="Cambria" w:hAnsi="Cambria"/>
                <w:b/>
                <w:bCs/>
                <w:color w:val="FF0000"/>
                <w:spacing w:val="2"/>
                <w:sz w:val="20"/>
                <w:szCs w:val="20"/>
              </w:rPr>
              <w:t xml:space="preserve">modificado con artículo </w:t>
            </w:r>
            <w:r>
              <w:rPr>
                <w:rStyle w:val="iaj"/>
                <w:rFonts w:ascii="Cambria" w:hAnsi="Cambria"/>
                <w:b/>
                <w:bCs/>
                <w:color w:val="FF0000"/>
                <w:spacing w:val="2"/>
                <w:sz w:val="20"/>
                <w:szCs w:val="20"/>
              </w:rPr>
              <w:t>95</w:t>
            </w:r>
            <w:r w:rsidRPr="00281C2B">
              <w:rPr>
                <w:rStyle w:val="iaj"/>
                <w:rFonts w:ascii="Cambria" w:hAnsi="Cambria"/>
                <w:b/>
                <w:bCs/>
                <w:color w:val="FF0000"/>
                <w:spacing w:val="2"/>
                <w:sz w:val="20"/>
                <w:szCs w:val="20"/>
              </w:rPr>
              <w:t xml:space="preserve">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sidRPr="00281C2B">
              <w:rPr>
                <w:rStyle w:val="iaj"/>
                <w:rFonts w:ascii="Cambria" w:hAnsi="Cambria"/>
                <w:b/>
                <w:bCs/>
                <w:color w:val="FF0000"/>
                <w:spacing w:val="2"/>
                <w:sz w:val="20"/>
                <w:szCs w:val="20"/>
              </w:rPr>
              <w:t>)</w:t>
            </w:r>
            <w:r w:rsidRPr="00A90524">
              <w:rPr>
                <w:rFonts w:ascii="Cambria" w:hAnsi="Cambria"/>
                <w:color w:val="00A9E0"/>
                <w:u w:val="single"/>
              </w:rPr>
              <w:t>.</w:t>
            </w:r>
            <w:r w:rsidRPr="00A90524">
              <w:rPr>
                <w:rFonts w:ascii="Cambria" w:hAnsi="Cambria"/>
              </w:rPr>
              <w:t> </w:t>
            </w:r>
            <w:r w:rsidRPr="0099148A">
              <w:rPr>
                <w:rStyle w:val="baj"/>
                <w:rFonts w:ascii="Cambria" w:hAnsi="Cambria"/>
                <w:color w:val="00A9E0"/>
                <w:spacing w:val="2"/>
                <w:sz w:val="20"/>
                <w:szCs w:val="20"/>
                <w:u w:val="single"/>
              </w:rPr>
              <w:t>.</w:t>
            </w:r>
            <w:r w:rsidRPr="0099148A">
              <w:rPr>
                <w:rStyle w:val="baj"/>
                <w:rFonts w:ascii="Cambria" w:hAnsi="Cambria"/>
                <w:b/>
                <w:bCs/>
                <w:color w:val="343536"/>
                <w:spacing w:val="2"/>
                <w:sz w:val="20"/>
                <w:szCs w:val="20"/>
              </w:rPr>
              <w:t> </w:t>
            </w:r>
            <w:r w:rsidRPr="0099148A">
              <w:rPr>
                <w:rFonts w:ascii="Cambria" w:hAnsi="Cambria"/>
                <w:sz w:val="20"/>
                <w:szCs w:val="20"/>
              </w:rPr>
              <w:t xml:space="preserve"> El sistema de facturación comprende la factura de venta y los documentos equivalentes. Así mismo, hacen parte del sistema de factura todos los documentos electrónicos que sean determinados por la Unidad Administrativa Especial Dirección de Impuestos y Aduanas Nacionales (DIAN), y que puedan servir para el ejercicio de control de la autoridad tributaria y aduanera, de soporte de las declaraciones tributarias o aduaneras y/o de soporte de los trámites que se adelanten ante la Unidad Administrativa Especial Dirección de Impuestos y Aduanas Nacionales (DIAN), quien establecerá las características, condiciones, plazos, términos y mecanismos técnicos y tecnológicos para la interoperabilidad, interacción, generación, numeración, transmisión, validación, expedición y entrega.</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 xml:space="preserve">Todos los documentos electrónicos que hacen parte del sistema de facturación, en lo que sea compatible con su naturaleza, deberán cumplir con las condiciones establecidas en el Estatuto Tributario o la ley que los regula, así como las condiciones establecidas por la Unidad Administrativa Especial Dirección de </w:t>
            </w:r>
            <w:r w:rsidRPr="0099148A">
              <w:rPr>
                <w:rFonts w:ascii="Cambria" w:hAnsi="Cambria"/>
                <w:sz w:val="20"/>
                <w:szCs w:val="20"/>
              </w:rPr>
              <w:lastRenderedPageBreak/>
              <w:t>Impuestos y Aduanas Nacionales (DIAN), de acuerdo con el inciso primero del presente artículo.</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color w:val="454545"/>
                <w:sz w:val="20"/>
                <w:szCs w:val="20"/>
              </w:rPr>
            </w:pPr>
            <w:r w:rsidRPr="0099148A">
              <w:rPr>
                <w:rFonts w:ascii="Cambria" w:hAnsi="Cambria"/>
                <w:sz w:val="20"/>
                <w:szCs w:val="20"/>
              </w:rPr>
              <w:t>Salvo que exista una sanción específica, la no transmisión en debida forma de los documentos del sistema de facturación dará lugar a la sanción establecida en el artículo </w:t>
            </w:r>
            <w:r w:rsidRPr="0099148A">
              <w:rPr>
                <w:rFonts w:ascii="Cambria" w:hAnsi="Cambria"/>
                <w:spacing w:val="2"/>
                <w:sz w:val="20"/>
                <w:szCs w:val="20"/>
              </w:rPr>
              <w:t>651</w:t>
            </w:r>
            <w:r w:rsidRPr="0099148A">
              <w:rPr>
                <w:rFonts w:ascii="Cambria" w:hAnsi="Cambria"/>
                <w:sz w:val="20"/>
                <w:szCs w:val="20"/>
              </w:rPr>
              <w:t> del Estatuto Tributario. La expedición de los documentos que hacen parte del sistema de facturación sin los requisitos establecidos dará lugar a la sanción establecida en el artículo </w:t>
            </w:r>
            <w:r w:rsidRPr="0099148A">
              <w:rPr>
                <w:rFonts w:ascii="Cambria" w:hAnsi="Cambria"/>
                <w:spacing w:val="2"/>
                <w:sz w:val="20"/>
                <w:szCs w:val="20"/>
              </w:rPr>
              <w:t>652</w:t>
            </w:r>
            <w:r w:rsidRPr="0099148A">
              <w:rPr>
                <w:rFonts w:ascii="Cambria" w:hAnsi="Cambria"/>
                <w:sz w:val="20"/>
                <w:szCs w:val="20"/>
              </w:rPr>
              <w:t> del Estatuto Tributario y la no expedición de los documentos que hacen parte del sistema de facturación dará lugar a la sanción prevista en el artículo </w:t>
            </w:r>
            <w:r w:rsidRPr="0099148A">
              <w:rPr>
                <w:rFonts w:ascii="Cambria" w:hAnsi="Cambria"/>
                <w:spacing w:val="2"/>
                <w:sz w:val="20"/>
                <w:szCs w:val="20"/>
              </w:rPr>
              <w:t>652-1</w:t>
            </w:r>
            <w:r w:rsidRPr="0099148A">
              <w:rPr>
                <w:rFonts w:ascii="Cambria" w:hAnsi="Cambria"/>
                <w:sz w:val="20"/>
                <w:szCs w:val="20"/>
              </w:rPr>
              <w:t> del Estatuto Tributario.</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La factura de venta de talonario o de papel y la factura electrónica de venta se consideran para todos los efectos como una factura de venta. La factura de talonario o de papel, solo tendrá validez en los casos en que el sujeto obligado a facturar presente inconvenientes tecnológicos que le imposibiliten facturar electrónicamente. Los documentos equivalentes a la factura de venta corresponden a aquellos que señale el Director General de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Fonts w:ascii="Cambria" w:hAnsi="Cambria"/>
                <w:sz w:val="20"/>
                <w:szCs w:val="20"/>
              </w:rPr>
              <w:t>Todas las facturas electrónicas de venta para su reconocimiento tributario deben ser validadas previo a su expedición, por la Unidad Administrativa Especial Dirección de Impuestos y Aduanas Nacionales (DIAN).</w:t>
            </w:r>
          </w:p>
          <w:p w:rsidR="0099148A" w:rsidRDefault="0099148A" w:rsidP="0099148A">
            <w:pPr>
              <w:jc w:val="both"/>
              <w:rPr>
                <w:rFonts w:ascii="Cambria" w:hAnsi="Cambria"/>
                <w:sz w:val="20"/>
                <w:szCs w:val="20"/>
              </w:rPr>
            </w:pPr>
            <w:r w:rsidRPr="0099148A">
              <w:rPr>
                <w:rFonts w:ascii="Cambria" w:hAnsi="Cambria"/>
                <w:sz w:val="20"/>
                <w:szCs w:val="20"/>
              </w:rPr>
              <w:t>La factura electrónica de venta solo se entenderá expedida cuando sea validada y entregada al adquirente, cumpliendo además con las condiciones, los términos y los mecanismos técnicos y tecnológicos establecidos por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Fonts w:ascii="Cambria" w:hAnsi="Cambria"/>
                <w:sz w:val="20"/>
                <w:szCs w:val="20"/>
              </w:rPr>
              <w:t>Sin perjuicio de lo anterior, cuando no pueda llevarse a cabo la validación previa de la factura electrónica de venta, por razones tecnológicas atribuibles a la Unidad Administrativa Especial Dirección de Impuestos y Aduanas Nacionales (DIAN), el obligado a facturar está facultado para expedir y entregar al adquirente la factura electrónica de venta sin validación previa. En estos casos, la factura se entenderá expedida con la entrega al adquirente y deberá ser enviada a la Unidad Administrativa Especial Dirección de Impuestos y Aduanas Nacionales (DIAN), para cumplir con la transmisión dentro de las cuarenta y ocho (48) horas siguientes, contadas a partir del momento en que se solucionen los inconvenientes tecnológicos.</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Fonts w:ascii="Cambria" w:hAnsi="Cambria"/>
                <w:sz w:val="20"/>
                <w:szCs w:val="20"/>
              </w:rPr>
              <w:lastRenderedPageBreak/>
              <w:t>En todos los casos, la responsabilidad de la entrega de la factura electrónica de venta para su validación, así como la expedición y entrega al adquiriente, una vez validada, corresponde al obligado a facturar. Las plataformas de comercio electrónico deberán poner a disposición un servicio que permita la expedición y entrega de la factura electrónica de venta por parte de sus usuarios al consumidor final.</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color w:val="454545"/>
                <w:sz w:val="20"/>
                <w:szCs w:val="20"/>
              </w:rPr>
            </w:pPr>
            <w:r w:rsidRPr="0099148A">
              <w:rPr>
                <w:rFonts w:ascii="Cambria" w:hAnsi="Cambria"/>
                <w:sz w:val="20"/>
                <w:szCs w:val="20"/>
              </w:rPr>
              <w:t xml:space="preserve">La validación de las facturas electrónicas de venta de </w:t>
            </w:r>
            <w:proofErr w:type="spellStart"/>
            <w:r w:rsidRPr="0099148A">
              <w:rPr>
                <w:rFonts w:ascii="Cambria" w:hAnsi="Cambria"/>
                <w:sz w:val="20"/>
                <w:szCs w:val="20"/>
              </w:rPr>
              <w:t>que</w:t>
            </w:r>
            <w:proofErr w:type="spellEnd"/>
            <w:r w:rsidRPr="0099148A">
              <w:rPr>
                <w:rFonts w:ascii="Cambria" w:hAnsi="Cambria"/>
                <w:sz w:val="20"/>
                <w:szCs w:val="20"/>
              </w:rPr>
              <w:t xml:space="preserve"> trata este artículo no excluye las amplias facultades de fiscalización y control de la Administración Tributaria.</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color w:val="454545"/>
                <w:sz w:val="20"/>
                <w:szCs w:val="20"/>
              </w:rPr>
            </w:pPr>
            <w:r w:rsidRPr="0099148A">
              <w:rPr>
                <w:rFonts w:ascii="Cambria" w:hAnsi="Cambria"/>
                <w:sz w:val="20"/>
                <w:szCs w:val="20"/>
              </w:rPr>
              <w:t>Para efectos del control, cuando la venta de un bien y/o prestación del servicio se realice a través de una factura electrónica de venta y la citada operación sea a crédito o de la misma se otorgue un plazo para el pago, el adquirente deberá confirmar el recibido de la factura electrónica de venta y de los bienes o servicios adquiridos mediante mensaje electrónico remitido al emisor para la expedición de la misma, atendiendo a los plazos establecidos en las disposiciones que regulan la materia, así como las condiciones, mecanismos, requisitos técnicos y tecnológicos establecidos por la Unidad Administrativa Especial Dirección de Impuestos y Aduanas Nacionales (DIAN). En aquellos casos en que el adquirente remita al emisor el mensaje electrónico de confirmación de recibido de la factura electrónica de venta y el mensaje electrónico del recibido de los bienes o servicios adquiridos, habrá lugar a que dicha factura electrónica de venta se constituya en soporte de costos, deducciones e impuestos descontables</w:t>
            </w:r>
            <w:r>
              <w:rPr>
                <w:rFonts w:ascii="Cambria" w:hAnsi="Cambria"/>
                <w:sz w:val="20"/>
                <w:szCs w:val="20"/>
              </w:rPr>
              <w:t>.</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Adicionalmente, para la procedencia de costos y deducciones en el impuesto sobre la renta, así como de los impuestos descontables en el impuesto sobre las ventas, se requerirá de factura de venta, documento equivalente y/o los documentos previstos en el presente artículo.</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1o. </w:t>
            </w:r>
            <w:r w:rsidRPr="0099148A">
              <w:rPr>
                <w:rFonts w:ascii="Cambria" w:hAnsi="Cambria"/>
                <w:sz w:val="20"/>
                <w:szCs w:val="20"/>
              </w:rPr>
              <w:t>La Unidad Administrativa Especial Dirección de Impuestos y Aduanas Nacionales (DIAN), reglamentará los sistemas de facturación establecidos en este artículo determinando, entre otros, sus requisitos especiales, las definiciones, características, condiciones, obligaciones formales e información a suministrar, términos y mecanismos técnicos y tecnológicos aplicables, la interacción de los sistemas de facturación con otros inventarios, sistemas de pago, impuestos y contabilidad e información tributaria legalmente exigida, así como los calendarios para su implementación.</w:t>
            </w:r>
          </w:p>
          <w:p w:rsidR="0099148A" w:rsidRPr="0099148A" w:rsidRDefault="0099148A" w:rsidP="0099148A">
            <w:pPr>
              <w:jc w:val="both"/>
              <w:rPr>
                <w:rFonts w:ascii="Cambria" w:hAnsi="Cambria"/>
                <w:color w:val="454545"/>
                <w:sz w:val="20"/>
                <w:szCs w:val="20"/>
              </w:rPr>
            </w:pPr>
          </w:p>
          <w:p w:rsid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2o.</w:t>
            </w:r>
            <w:r>
              <w:rPr>
                <w:rStyle w:val="baj"/>
                <w:rFonts w:ascii="Cambria" w:hAnsi="Cambria"/>
                <w:b/>
                <w:bCs/>
                <w:color w:val="343536"/>
                <w:spacing w:val="2"/>
                <w:sz w:val="20"/>
                <w:szCs w:val="20"/>
              </w:rPr>
              <w:t>Derogado</w:t>
            </w:r>
            <w:r w:rsidRPr="0099148A">
              <w:rPr>
                <w:rStyle w:val="baj"/>
                <w:rFonts w:ascii="Cambria" w:hAnsi="Cambria"/>
                <w:b/>
                <w:bCs/>
                <w:color w:val="343536"/>
                <w:spacing w:val="2"/>
                <w:sz w:val="20"/>
                <w:szCs w:val="20"/>
              </w:rPr>
              <w:t> </w:t>
            </w:r>
            <w:r w:rsidRPr="0099148A">
              <w:rPr>
                <w:rFonts w:ascii="Cambria" w:hAnsi="Cambria"/>
                <w:sz w:val="20"/>
                <w:szCs w:val="20"/>
              </w:rPr>
              <w:t>.</w:t>
            </w:r>
          </w:p>
          <w:p w:rsidR="0099148A" w:rsidRDefault="0099148A" w:rsidP="0099148A">
            <w:pPr>
              <w:jc w:val="both"/>
              <w:rPr>
                <w:rFonts w:ascii="Cambria" w:hAnsi="Cambria"/>
                <w:sz w:val="20"/>
                <w:szCs w:val="20"/>
              </w:rPr>
            </w:pPr>
          </w:p>
          <w:p w:rsidR="0099148A" w:rsidRDefault="0099148A" w:rsidP="0099148A">
            <w:pPr>
              <w:jc w:val="both"/>
            </w:pPr>
          </w:p>
          <w:p w:rsidR="0099148A" w:rsidRDefault="0099148A" w:rsidP="0099148A">
            <w:pPr>
              <w:jc w:val="both"/>
            </w:pPr>
          </w:p>
          <w:p w:rsidR="0099148A" w:rsidRDefault="0099148A" w:rsidP="0099148A">
            <w:pPr>
              <w:jc w:val="both"/>
            </w:pPr>
          </w:p>
          <w:p w:rsidR="0099148A" w:rsidRDefault="0099148A" w:rsidP="0099148A">
            <w:pPr>
              <w:jc w:val="both"/>
            </w:pPr>
          </w:p>
          <w:p w:rsidR="0099148A" w:rsidRDefault="0099148A" w:rsidP="0099148A">
            <w:pPr>
              <w:jc w:val="both"/>
            </w:pPr>
          </w:p>
          <w:p w:rsidR="0099148A" w:rsidRDefault="0099148A" w:rsidP="0099148A">
            <w:pPr>
              <w:jc w:val="both"/>
            </w:pPr>
          </w:p>
          <w:p w:rsidR="0099148A" w:rsidRDefault="0099148A" w:rsidP="0099148A">
            <w:pPr>
              <w:jc w:val="both"/>
            </w:pP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p>
          <w:p w:rsidR="0099148A" w:rsidRPr="0099148A" w:rsidRDefault="0099148A" w:rsidP="0099148A">
            <w:pPr>
              <w:jc w:val="both"/>
              <w:rPr>
                <w:rFonts w:ascii="Cambria" w:hAnsi="Cambria"/>
                <w:color w:val="454545"/>
                <w:sz w:val="20"/>
                <w:szCs w:val="20"/>
              </w:rPr>
            </w:pPr>
          </w:p>
          <w:p w:rsidR="0099148A" w:rsidRDefault="0099148A" w:rsidP="0099148A">
            <w:pPr>
              <w:jc w:val="both"/>
              <w:rPr>
                <w:rFonts w:ascii="Cambria" w:hAnsi="Cambria"/>
                <w:color w:val="454545"/>
                <w:sz w:val="20"/>
                <w:szCs w:val="20"/>
              </w:rPr>
            </w:pPr>
            <w:r w:rsidRPr="0099148A">
              <w:rPr>
                <w:rStyle w:val="baj"/>
                <w:rFonts w:ascii="Cambria" w:hAnsi="Cambria"/>
                <w:b/>
                <w:bCs/>
                <w:color w:val="343536"/>
                <w:spacing w:val="2"/>
                <w:sz w:val="20"/>
                <w:szCs w:val="20"/>
              </w:rPr>
              <w:t>PARÁGRAFO 3o. </w:t>
            </w:r>
            <w:r w:rsidRPr="0099148A">
              <w:rPr>
                <w:rFonts w:ascii="Cambria" w:hAnsi="Cambria"/>
                <w:sz w:val="20"/>
                <w:szCs w:val="20"/>
              </w:rPr>
              <w:t>La plataforma de factura electrónica de la Unidad Administrativa Especial Dirección de Impuestos y Aduanas Nacionales (DIAN), incluirá el registro de las facturas electrónicas consideradas como título valor que circulen en el territorio nacional y permitirá su consulta y trazabilidad. Las entidades autorizadas para realizar actividades de factoraje tendrán que desarrollar y adaptar sus sistemas tecnológicos a aquellos de la Unidad Administrativa Especial Dirección de Impuestos y Aduanas Nacionales (DIAN).</w:t>
            </w:r>
          </w:p>
          <w:p w:rsidR="0099148A" w:rsidRPr="0099148A" w:rsidRDefault="0099148A" w:rsidP="0099148A">
            <w:pPr>
              <w:jc w:val="both"/>
              <w:rPr>
                <w:rFonts w:ascii="Cambria" w:hAnsi="Cambria"/>
                <w:color w:val="454545"/>
                <w:sz w:val="20"/>
                <w:szCs w:val="20"/>
              </w:rPr>
            </w:pPr>
            <w:r w:rsidRPr="0099148A">
              <w:rPr>
                <w:rFonts w:ascii="Cambria" w:hAnsi="Cambria"/>
                <w:color w:val="454545"/>
                <w:sz w:val="20"/>
                <w:szCs w:val="20"/>
              </w:rPr>
              <w:t xml:space="preserve"> </w:t>
            </w:r>
          </w:p>
          <w:p w:rsidR="0099148A" w:rsidRDefault="0099148A" w:rsidP="0099148A">
            <w:pPr>
              <w:jc w:val="both"/>
              <w:rPr>
                <w:rFonts w:ascii="Cambria" w:hAnsi="Cambria"/>
                <w:sz w:val="20"/>
                <w:szCs w:val="20"/>
              </w:rPr>
            </w:pPr>
            <w:r w:rsidRPr="0099148A">
              <w:rPr>
                <w:rFonts w:ascii="Cambria" w:hAnsi="Cambria"/>
                <w:sz w:val="20"/>
                <w:szCs w:val="20"/>
              </w:rPr>
              <w:t>Para efectos de que se materialice la transferencia de derechos económicos contenidos en una factura electrónica que sea un título valor, el enajenante, cedente o endosatario deberá inscribir en el Registro de las Facturas Electrónicas de Venta administrado por la Unidad Administrativa Especial Dirección de Impuestos y Aduanas Nacionales (DIAN), - RADIAN la transacción realizada. Hasta tanto no se realice el registro de las operaciones en el RADIAN, no se hará efectiva la correspondiente cesión de derechos. Respecto de lo anterior, la Unidad Administrativa Especial Dirección de Impuestos y Aduanas Nacionales (DIAN), establecerá las características, condiciones, plazos, términos y mecanismos técnicos y tecnológicos.</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Fonts w:ascii="Cambria" w:hAnsi="Cambria"/>
                <w:sz w:val="20"/>
                <w:szCs w:val="20"/>
              </w:rPr>
              <w:t xml:space="preserve">Los sujetos no obligados a expedir factura podrán registrarse como facturadores electrónicos para poder </w:t>
            </w:r>
            <w:r w:rsidRPr="0099148A">
              <w:rPr>
                <w:rFonts w:ascii="Cambria" w:hAnsi="Cambria"/>
                <w:sz w:val="20"/>
                <w:szCs w:val="20"/>
              </w:rPr>
              <w:lastRenderedPageBreak/>
              <w:t>participar en RADIAN, sin que para ellos implique la obligación de expedir factura de venta y/o documento equivalente, y por tanto conservan su calidad de ser sujetos no obligados a expedir tales documentos. La Unidad Administrativa Especial Dirección de Impuestos y Aduanas Nacionales (DIAN), establecerá las características, condiciones, plazos, términos y mecanismos técnicos y tecnológicos para estos efectos.</w:t>
            </w:r>
          </w:p>
          <w:p w:rsidR="0099148A" w:rsidRDefault="0099148A" w:rsidP="0099148A">
            <w:pPr>
              <w:jc w:val="both"/>
              <w:rPr>
                <w:rFonts w:ascii="Cambria" w:hAnsi="Cambria"/>
                <w:sz w:val="20"/>
                <w:szCs w:val="20"/>
              </w:rPr>
            </w:pPr>
            <w:r w:rsidRPr="0099148A">
              <w:rPr>
                <w:rFonts w:ascii="Cambria" w:hAnsi="Cambria"/>
                <w:sz w:val="20"/>
                <w:szCs w:val="20"/>
              </w:rPr>
              <w:t>El Gobierno nacional reglamentará la circulación de las facturas electrónicas.</w:t>
            </w:r>
          </w:p>
          <w:p w:rsidR="0099148A" w:rsidRPr="0099148A" w:rsidRDefault="0099148A" w:rsidP="0099148A">
            <w:pPr>
              <w:jc w:val="both"/>
              <w:rPr>
                <w:rFonts w:ascii="Cambria" w:hAnsi="Cambria"/>
                <w:sz w:val="20"/>
                <w:szCs w:val="20"/>
              </w:rPr>
            </w:pPr>
          </w:p>
          <w:p w:rsid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4o. </w:t>
            </w:r>
            <w:r w:rsidRPr="0099148A">
              <w:rPr>
                <w:rFonts w:ascii="Cambria" w:hAnsi="Cambria"/>
                <w:sz w:val="20"/>
                <w:szCs w:val="20"/>
              </w:rPr>
              <w:t>El sistema de facturación a que se refiere el presente artículo será aplicable a otras operaciones que determine la Unidad Administrativa Especial Dirección de Impuestos y Aduanas Nacionales (DIAN).</w:t>
            </w:r>
          </w:p>
          <w:p w:rsidR="0099148A" w:rsidRPr="0099148A" w:rsidRDefault="0099148A" w:rsidP="0099148A">
            <w:pPr>
              <w:jc w:val="both"/>
              <w:rPr>
                <w:rFonts w:ascii="Cambria" w:hAnsi="Cambria"/>
                <w:sz w:val="20"/>
                <w:szCs w:val="20"/>
              </w:rPr>
            </w:pPr>
          </w:p>
          <w:p w:rsidR="0099148A" w:rsidRPr="0099148A" w:rsidRDefault="0099148A" w:rsidP="0099148A">
            <w:pPr>
              <w:jc w:val="both"/>
              <w:rPr>
                <w:rFonts w:ascii="Cambria" w:hAnsi="Cambria"/>
                <w:sz w:val="20"/>
                <w:szCs w:val="20"/>
              </w:rPr>
            </w:pPr>
            <w:r w:rsidRPr="0099148A">
              <w:rPr>
                <w:rStyle w:val="baj"/>
                <w:rFonts w:ascii="Cambria" w:hAnsi="Cambria"/>
                <w:b/>
                <w:bCs/>
                <w:color w:val="343536"/>
                <w:spacing w:val="2"/>
                <w:sz w:val="20"/>
                <w:szCs w:val="20"/>
              </w:rPr>
              <w:t>PARÁGRAFO TRANSITORIO.</w:t>
            </w:r>
            <w:r w:rsidRPr="0099148A">
              <w:rPr>
                <w:rFonts w:ascii="Cambria" w:hAnsi="Cambria"/>
                <w:sz w:val="20"/>
                <w:szCs w:val="20"/>
              </w:rPr>
              <w:t> Mientras se expide la reglamentación del sistema de facturación aplicarán las disposiciones que regulan la materia antes de la entrada en vigencia de la presente ley.</w:t>
            </w:r>
          </w:p>
          <w:p w:rsidR="0099148A" w:rsidRPr="0099148A" w:rsidRDefault="0099148A" w:rsidP="0099148A">
            <w:pPr>
              <w:jc w:val="both"/>
              <w:rPr>
                <w:rFonts w:ascii="Cambria" w:hAnsi="Cambria"/>
                <w:b/>
                <w:bCs/>
                <w:color w:val="000000" w:themeColor="text1"/>
                <w:sz w:val="20"/>
                <w:szCs w:val="20"/>
              </w:rPr>
            </w:pPr>
          </w:p>
        </w:tc>
      </w:tr>
      <w:tr w:rsidR="008F5E58" w:rsidTr="0059378C">
        <w:tc>
          <w:tcPr>
            <w:tcW w:w="4958" w:type="dxa"/>
          </w:tcPr>
          <w:p w:rsidR="008F5E58" w:rsidRDefault="008F5E58" w:rsidP="008F5E58">
            <w:pPr>
              <w:jc w:val="both"/>
              <w:rPr>
                <w:rFonts w:ascii="Cambria" w:hAnsi="Cambria"/>
                <w:sz w:val="20"/>
                <w:szCs w:val="20"/>
              </w:rPr>
            </w:pPr>
            <w:bookmarkStart w:id="36" w:name="631-4"/>
            <w:r w:rsidRPr="008F5E58">
              <w:rPr>
                <w:rStyle w:val="baj"/>
                <w:rFonts w:ascii="Cambria" w:hAnsi="Cambria"/>
                <w:b/>
                <w:bCs/>
                <w:color w:val="000000" w:themeColor="text1"/>
                <w:spacing w:val="2"/>
                <w:sz w:val="20"/>
                <w:szCs w:val="20"/>
              </w:rPr>
              <w:lastRenderedPageBreak/>
              <w:t>Artículo 631-4. Intercambio automático de información.</w:t>
            </w:r>
            <w:bookmarkEnd w:id="36"/>
            <w:r w:rsidRPr="008F5E58">
              <w:rPr>
                <w:rStyle w:val="baj"/>
                <w:rFonts w:ascii="Cambria" w:hAnsi="Cambria"/>
                <w:b/>
                <w:bCs/>
                <w:color w:val="000000" w:themeColor="text1"/>
                <w:spacing w:val="2"/>
                <w:sz w:val="20"/>
                <w:szCs w:val="20"/>
              </w:rPr>
              <w:t> </w:t>
            </w:r>
            <w:r w:rsidRPr="008F5E58">
              <w:rPr>
                <w:rFonts w:ascii="Cambria" w:hAnsi="Cambria"/>
                <w:sz w:val="20"/>
                <w:szCs w:val="20"/>
              </w:rPr>
              <w:t xml:space="preserve"> La Unidad Administrativa Especial Dirección de Impuestos y Aduanas Nacionales (DIAN), definirá mediante resolución los sujetos que se encuentran obligados a suministrar información para efectos de cumplir con los compromisos internacionales en materia de intercambio automático de información, así como la información que deben suministrar y los procedimientos de debida diligencia que deben cumplir, teniendo en cuenta los estándares y prácticas reconocidas internacionalmente sobre intercambio automático de información.</w:t>
            </w:r>
          </w:p>
          <w:p w:rsidR="008F5E58" w:rsidRDefault="008F5E58" w:rsidP="008F5E58">
            <w:pPr>
              <w:jc w:val="both"/>
              <w:rPr>
                <w:rFonts w:ascii="Cambria" w:hAnsi="Cambria"/>
                <w:sz w:val="20"/>
                <w:szCs w:val="20"/>
              </w:rPr>
            </w:pPr>
          </w:p>
          <w:p w:rsidR="00852E78" w:rsidRDefault="00852E78" w:rsidP="008F5E58">
            <w:pPr>
              <w:jc w:val="both"/>
              <w:rPr>
                <w:rFonts w:ascii="Cambria" w:hAnsi="Cambria"/>
                <w:sz w:val="20"/>
                <w:szCs w:val="20"/>
              </w:rPr>
            </w:pPr>
          </w:p>
          <w:p w:rsidR="008F5E58" w:rsidRPr="008F5E58" w:rsidRDefault="008F5E58" w:rsidP="008F5E58">
            <w:pPr>
              <w:jc w:val="both"/>
              <w:rPr>
                <w:rFonts w:ascii="Cambria" w:hAnsi="Cambria"/>
                <w:sz w:val="20"/>
                <w:szCs w:val="20"/>
              </w:rPr>
            </w:pPr>
          </w:p>
          <w:p w:rsidR="008F5E58" w:rsidRDefault="008F5E58" w:rsidP="008F5E58">
            <w:pPr>
              <w:jc w:val="both"/>
              <w:rPr>
                <w:rFonts w:ascii="Cambria" w:hAnsi="Cambria"/>
                <w:color w:val="454545"/>
                <w:sz w:val="20"/>
                <w:szCs w:val="20"/>
              </w:rPr>
            </w:pPr>
            <w:r w:rsidRPr="008F5E58">
              <w:rPr>
                <w:rStyle w:val="baj"/>
                <w:rFonts w:ascii="Cambria" w:hAnsi="Cambria"/>
                <w:b/>
                <w:bCs/>
                <w:color w:val="343536"/>
                <w:spacing w:val="2"/>
                <w:sz w:val="20"/>
                <w:szCs w:val="20"/>
              </w:rPr>
              <w:t>PARÁGRAFO 1o. </w:t>
            </w:r>
            <w:r w:rsidRPr="008F5E58">
              <w:rPr>
                <w:rFonts w:ascii="Cambria" w:hAnsi="Cambria"/>
                <w:sz w:val="20"/>
                <w:szCs w:val="20"/>
              </w:rPr>
              <w:t>El no suministro de la información objeto de intercambio automático de información por parte del titular de la cuenta al sujeto obligado a reportar la información a la Unidad Administrativa Especial Dirección de Impuestos y Aduanas Nacionales (DIAN), es causal de no apertura de la cuenta o de cierre de la misma.</w:t>
            </w:r>
          </w:p>
          <w:p w:rsidR="008F5E58" w:rsidRDefault="008F5E58" w:rsidP="008F5E58">
            <w:pPr>
              <w:jc w:val="both"/>
              <w:rPr>
                <w:rFonts w:ascii="Cambria" w:hAnsi="Cambria"/>
                <w:color w:val="454545"/>
                <w:sz w:val="20"/>
                <w:szCs w:val="20"/>
              </w:rPr>
            </w:pPr>
            <w:r w:rsidRPr="008F5E58">
              <w:rPr>
                <w:rFonts w:ascii="Cambria" w:hAnsi="Cambria"/>
                <w:color w:val="454545"/>
                <w:sz w:val="20"/>
                <w:szCs w:val="20"/>
              </w:rPr>
              <w:t xml:space="preserve"> </w:t>
            </w:r>
          </w:p>
          <w:p w:rsidR="008F5E58" w:rsidRDefault="008F5E58" w:rsidP="008F5E58">
            <w:pPr>
              <w:jc w:val="both"/>
              <w:rPr>
                <w:rFonts w:ascii="Cambria" w:hAnsi="Cambria"/>
                <w:color w:val="454545"/>
                <w:sz w:val="20"/>
                <w:szCs w:val="20"/>
              </w:rPr>
            </w:pPr>
          </w:p>
          <w:p w:rsidR="008F5E58" w:rsidRDefault="008F5E58" w:rsidP="008F5E58">
            <w:pPr>
              <w:jc w:val="both"/>
              <w:rPr>
                <w:rFonts w:ascii="Cambria" w:hAnsi="Cambria"/>
                <w:color w:val="454545"/>
                <w:sz w:val="20"/>
                <w:szCs w:val="20"/>
              </w:rPr>
            </w:pPr>
          </w:p>
          <w:p w:rsidR="008F5E58" w:rsidRDefault="008F5E58" w:rsidP="008F5E58">
            <w:pPr>
              <w:jc w:val="both"/>
              <w:rPr>
                <w:rFonts w:ascii="Cambria" w:hAnsi="Cambria"/>
                <w:color w:val="454545"/>
                <w:sz w:val="20"/>
                <w:szCs w:val="20"/>
              </w:rPr>
            </w:pPr>
          </w:p>
          <w:p w:rsidR="008F5E58" w:rsidRDefault="008F5E58" w:rsidP="008F5E58">
            <w:pPr>
              <w:jc w:val="both"/>
              <w:rPr>
                <w:rFonts w:ascii="Cambria" w:hAnsi="Cambria"/>
                <w:color w:val="454545"/>
                <w:sz w:val="20"/>
                <w:szCs w:val="20"/>
              </w:rPr>
            </w:pPr>
          </w:p>
          <w:p w:rsidR="008F5E58" w:rsidRDefault="008F5E58" w:rsidP="008F5E58">
            <w:pPr>
              <w:jc w:val="both"/>
              <w:rPr>
                <w:rFonts w:ascii="Cambria" w:hAnsi="Cambria"/>
                <w:color w:val="454545"/>
                <w:sz w:val="20"/>
                <w:szCs w:val="20"/>
              </w:rPr>
            </w:pPr>
          </w:p>
          <w:p w:rsidR="008F5E58" w:rsidRPr="008F5E58" w:rsidRDefault="008F5E58" w:rsidP="008F5E58">
            <w:pPr>
              <w:jc w:val="both"/>
              <w:rPr>
                <w:rFonts w:ascii="Cambria" w:hAnsi="Cambria"/>
                <w:color w:val="454545"/>
                <w:sz w:val="20"/>
                <w:szCs w:val="20"/>
              </w:rPr>
            </w:pPr>
          </w:p>
          <w:p w:rsidR="008F5E58" w:rsidRDefault="008F5E58" w:rsidP="008F5E58">
            <w:pPr>
              <w:jc w:val="both"/>
              <w:rPr>
                <w:rFonts w:ascii="Cambria" w:hAnsi="Cambria"/>
                <w:sz w:val="20"/>
                <w:szCs w:val="20"/>
              </w:rPr>
            </w:pPr>
            <w:r w:rsidRPr="008F5E58">
              <w:rPr>
                <w:rStyle w:val="baj"/>
                <w:rFonts w:ascii="Cambria" w:hAnsi="Cambria"/>
                <w:b/>
                <w:bCs/>
                <w:color w:val="343536"/>
                <w:spacing w:val="2"/>
                <w:sz w:val="20"/>
                <w:szCs w:val="20"/>
              </w:rPr>
              <w:t>PARÁGRAFO 2o. </w:t>
            </w:r>
            <w:r w:rsidRPr="008F5E58">
              <w:rPr>
                <w:rFonts w:ascii="Cambria" w:hAnsi="Cambria"/>
                <w:sz w:val="20"/>
                <w:szCs w:val="20"/>
              </w:rPr>
              <w:t xml:space="preserve">La función de fiscalización de los procedimientos de debida diligencia que para el efecto fije la Unidad Administrativa Especial Dirección de </w:t>
            </w:r>
            <w:r w:rsidRPr="008F5E58">
              <w:rPr>
                <w:rFonts w:ascii="Cambria" w:hAnsi="Cambria"/>
                <w:sz w:val="20"/>
                <w:szCs w:val="20"/>
              </w:rPr>
              <w:lastRenderedPageBreak/>
              <w:t>Impuestos y Aduanas Nacionales (DIAN), mediante resolución, está a cargo de la· Unidad Administrativa Especial Dirección de Impuestos y Aduanas Nacionales (DIAN), de acuerdo con las disposiciones procedimentales previstas en el Estatuto Tributario.</w:t>
            </w:r>
          </w:p>
          <w:p w:rsidR="008F5E58" w:rsidRPr="008F5E58" w:rsidRDefault="008F5E58" w:rsidP="008F5E58">
            <w:pPr>
              <w:jc w:val="both"/>
              <w:rPr>
                <w:rFonts w:ascii="Cambria" w:hAnsi="Cambria"/>
                <w:sz w:val="20"/>
                <w:szCs w:val="20"/>
              </w:rPr>
            </w:pPr>
          </w:p>
          <w:p w:rsidR="008F5E58" w:rsidRPr="008F5E58" w:rsidRDefault="008F5E58" w:rsidP="008F5E58">
            <w:pPr>
              <w:jc w:val="both"/>
              <w:rPr>
                <w:rFonts w:ascii="Cambria" w:hAnsi="Cambria"/>
                <w:sz w:val="20"/>
                <w:szCs w:val="20"/>
              </w:rPr>
            </w:pPr>
            <w:r w:rsidRPr="008F5E58">
              <w:rPr>
                <w:rStyle w:val="baj"/>
                <w:rFonts w:ascii="Cambria" w:hAnsi="Cambria"/>
                <w:b/>
                <w:bCs/>
                <w:color w:val="343536"/>
                <w:spacing w:val="2"/>
                <w:sz w:val="20"/>
                <w:szCs w:val="20"/>
              </w:rPr>
              <w:t>PARÁGRAFO 3o. </w:t>
            </w:r>
            <w:r w:rsidRPr="00BE2D86">
              <w:rPr>
                <w:rFonts w:ascii="Cambria" w:hAnsi="Cambria"/>
                <w:sz w:val="20"/>
                <w:szCs w:val="20"/>
                <w:highlight w:val="yellow"/>
              </w:rPr>
              <w:t>El incumplimiento de lo previsto en este artículo</w:t>
            </w:r>
            <w:r w:rsidRPr="008F5E58">
              <w:rPr>
                <w:rFonts w:ascii="Cambria" w:hAnsi="Cambria"/>
                <w:sz w:val="20"/>
                <w:szCs w:val="20"/>
              </w:rPr>
              <w:t xml:space="preserve"> será </w:t>
            </w:r>
            <w:r w:rsidRPr="00BE2D86">
              <w:rPr>
                <w:rFonts w:ascii="Cambria" w:hAnsi="Cambria"/>
                <w:sz w:val="20"/>
                <w:szCs w:val="20"/>
                <w:highlight w:val="yellow"/>
              </w:rPr>
              <w:t>sancionable de conformidad con</w:t>
            </w:r>
            <w:r w:rsidRPr="008F5E58">
              <w:rPr>
                <w:rFonts w:ascii="Cambria" w:hAnsi="Cambria"/>
                <w:sz w:val="20"/>
                <w:szCs w:val="20"/>
              </w:rPr>
              <w:t xml:space="preserve"> lo previsto en el artículo </w:t>
            </w:r>
            <w:r w:rsidRPr="008F5E58">
              <w:rPr>
                <w:rFonts w:ascii="Cambria" w:hAnsi="Cambria"/>
                <w:spacing w:val="2"/>
                <w:sz w:val="20"/>
                <w:szCs w:val="20"/>
              </w:rPr>
              <w:t>651</w:t>
            </w:r>
            <w:r w:rsidRPr="008F5E58">
              <w:rPr>
                <w:rFonts w:ascii="Cambria" w:hAnsi="Cambria"/>
                <w:sz w:val="20"/>
                <w:szCs w:val="20"/>
              </w:rPr>
              <w:t> de este Estatuto.</w:t>
            </w:r>
          </w:p>
          <w:p w:rsidR="008F5E58" w:rsidRPr="008F5E58" w:rsidRDefault="008F5E58" w:rsidP="008F5E58">
            <w:pPr>
              <w:jc w:val="both"/>
              <w:rPr>
                <w:rFonts w:ascii="Cambria" w:hAnsi="Cambria"/>
                <w:b/>
                <w:bCs/>
                <w:color w:val="000000" w:themeColor="text1"/>
                <w:sz w:val="20"/>
                <w:szCs w:val="20"/>
              </w:rPr>
            </w:pPr>
          </w:p>
        </w:tc>
        <w:tc>
          <w:tcPr>
            <w:tcW w:w="4865" w:type="dxa"/>
          </w:tcPr>
          <w:p w:rsidR="008F5E58" w:rsidRDefault="008F5E58" w:rsidP="008F5E58">
            <w:pPr>
              <w:jc w:val="both"/>
              <w:rPr>
                <w:rFonts w:ascii="Cambria" w:hAnsi="Cambria"/>
                <w:sz w:val="20"/>
                <w:szCs w:val="20"/>
              </w:rPr>
            </w:pPr>
            <w:r w:rsidRPr="008F5E58">
              <w:rPr>
                <w:rStyle w:val="baj"/>
                <w:rFonts w:ascii="Cambria" w:hAnsi="Cambria"/>
                <w:b/>
                <w:bCs/>
                <w:color w:val="000000" w:themeColor="text1"/>
                <w:spacing w:val="2"/>
                <w:sz w:val="20"/>
                <w:szCs w:val="20"/>
              </w:rPr>
              <w:lastRenderedPageBreak/>
              <w:t>Artículo 631-4. Intercambio automático de información</w:t>
            </w:r>
            <w:r>
              <w:rPr>
                <w:rStyle w:val="baj"/>
                <w:rFonts w:ascii="Cambria" w:hAnsi="Cambria"/>
                <w:b/>
                <w:bCs/>
                <w:color w:val="000000" w:themeColor="text1"/>
                <w:spacing w:val="2"/>
                <w:sz w:val="20"/>
                <w:szCs w:val="20"/>
              </w:rPr>
              <w:t xml:space="preserve"> </w:t>
            </w:r>
            <w:r>
              <w:rPr>
                <w:rFonts w:ascii="Cambria" w:hAnsi="Cambria"/>
                <w:b/>
                <w:bCs/>
                <w:color w:val="000000" w:themeColor="text1"/>
                <w:sz w:val="20"/>
                <w:szCs w:val="20"/>
              </w:rPr>
              <w:t>(</w:t>
            </w:r>
            <w:r w:rsidRPr="00281C2B">
              <w:rPr>
                <w:rStyle w:val="iaj"/>
                <w:rFonts w:ascii="Cambria" w:hAnsi="Cambria"/>
                <w:b/>
                <w:bCs/>
                <w:color w:val="FF0000"/>
                <w:spacing w:val="2"/>
                <w:sz w:val="20"/>
                <w:szCs w:val="20"/>
              </w:rPr>
              <w:t xml:space="preserve">modificado con artículo </w:t>
            </w:r>
            <w:r>
              <w:rPr>
                <w:rStyle w:val="iaj"/>
                <w:rFonts w:ascii="Cambria" w:hAnsi="Cambria"/>
                <w:b/>
                <w:bCs/>
                <w:color w:val="FF0000"/>
                <w:spacing w:val="2"/>
                <w:sz w:val="20"/>
                <w:szCs w:val="20"/>
              </w:rPr>
              <w:t>53</w:t>
            </w:r>
            <w:r w:rsidRPr="00281C2B">
              <w:rPr>
                <w:rStyle w:val="iaj"/>
                <w:rFonts w:ascii="Cambria" w:hAnsi="Cambria"/>
                <w:b/>
                <w:bCs/>
                <w:color w:val="FF0000"/>
                <w:spacing w:val="2"/>
                <w:sz w:val="20"/>
                <w:szCs w:val="20"/>
              </w:rPr>
              <w:t xml:space="preserve">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Pr>
                <w:rStyle w:val="iaj"/>
                <w:rFonts w:ascii="Cambria" w:hAnsi="Cambria"/>
                <w:b/>
                <w:bCs/>
                <w:color w:val="FF0000"/>
                <w:spacing w:val="2"/>
                <w:sz w:val="20"/>
                <w:szCs w:val="20"/>
              </w:rPr>
              <w:t>)</w:t>
            </w:r>
            <w:r w:rsidRPr="008F5E58">
              <w:rPr>
                <w:rStyle w:val="baj"/>
                <w:rFonts w:ascii="Cambria" w:hAnsi="Cambria"/>
                <w:b/>
                <w:bCs/>
                <w:color w:val="000000" w:themeColor="text1"/>
                <w:spacing w:val="2"/>
                <w:sz w:val="20"/>
                <w:szCs w:val="20"/>
              </w:rPr>
              <w:t>. </w:t>
            </w:r>
            <w:r w:rsidRPr="008F5E58">
              <w:rPr>
                <w:rFonts w:ascii="Cambria" w:hAnsi="Cambria"/>
                <w:sz w:val="20"/>
                <w:szCs w:val="20"/>
              </w:rPr>
              <w:t xml:space="preserve"> La Unidad Administrativa Especial Dirección de Impuestos y Aduanas Nacionales (DIAN), definirá mediante resolución los sujetos que se encuentran obligados a suministrar información para efectos de cumplir con los compromisos internacionales en materia de intercambio automático de información, así como la información que deben suministrar y los procedimientos de debida diligencia que deben cumplir, teniendo en cuenta los estándares y prácticas reconocidas internacionalmente sobre intercambio automático de información.</w:t>
            </w:r>
          </w:p>
          <w:p w:rsidR="008F5E58" w:rsidRPr="008F5E58" w:rsidRDefault="008F5E58" w:rsidP="008F5E58">
            <w:pPr>
              <w:jc w:val="both"/>
              <w:rPr>
                <w:rFonts w:ascii="Cambria" w:hAnsi="Cambria"/>
                <w:sz w:val="20"/>
                <w:szCs w:val="20"/>
              </w:rPr>
            </w:pPr>
          </w:p>
          <w:p w:rsidR="008F5E58" w:rsidRPr="008F5E58" w:rsidRDefault="008F5E58" w:rsidP="008F5E58">
            <w:pPr>
              <w:jc w:val="both"/>
              <w:rPr>
                <w:rFonts w:ascii="Cambria" w:hAnsi="Cambria"/>
                <w:sz w:val="20"/>
                <w:szCs w:val="20"/>
              </w:rPr>
            </w:pPr>
            <w:r w:rsidRPr="008F5E58">
              <w:rPr>
                <w:rStyle w:val="baj"/>
                <w:rFonts w:ascii="Cambria" w:hAnsi="Cambria"/>
                <w:b/>
                <w:bCs/>
                <w:color w:val="343536"/>
                <w:spacing w:val="2"/>
                <w:sz w:val="20"/>
                <w:szCs w:val="20"/>
              </w:rPr>
              <w:t xml:space="preserve">PARÁGRAFO </w:t>
            </w:r>
            <w:r w:rsidRPr="008F5E58">
              <w:rPr>
                <w:rStyle w:val="baj"/>
                <w:rFonts w:ascii="Cambria" w:hAnsi="Cambria"/>
                <w:b/>
                <w:bCs/>
                <w:color w:val="343536"/>
                <w:spacing w:val="2"/>
                <w:sz w:val="20"/>
                <w:szCs w:val="20"/>
                <w:highlight w:val="yellow"/>
              </w:rPr>
              <w:t>1o. </w:t>
            </w:r>
            <w:r w:rsidRPr="008F5E58">
              <w:rPr>
                <w:rFonts w:ascii="Cambria" w:hAnsi="Cambria"/>
                <w:sz w:val="20"/>
                <w:szCs w:val="20"/>
                <w:highlight w:val="yellow"/>
              </w:rPr>
              <w:t>Para el caso de cuentas financieras</w:t>
            </w:r>
            <w:r w:rsidRPr="008F5E58">
              <w:rPr>
                <w:rFonts w:ascii="Cambria" w:hAnsi="Cambria"/>
                <w:sz w:val="20"/>
                <w:szCs w:val="20"/>
              </w:rPr>
              <w:t xml:space="preserve">, el no suministro de la información objeto de intercambio automático por parte del titular de la información al sujeto obligado a reportarla a la Unidad Administrativa Especial Dirección de Impuestos y Aduanas Nacionales (DIAN), es causal de no apertura de la cuenta o de cierre de la misma. </w:t>
            </w:r>
            <w:r w:rsidRPr="00BE2D86">
              <w:rPr>
                <w:rFonts w:ascii="Cambria" w:hAnsi="Cambria"/>
                <w:sz w:val="20"/>
                <w:szCs w:val="20"/>
                <w:highlight w:val="yellow"/>
              </w:rPr>
              <w:t>Para el caso de otros reportes que la Unidad Administrativa Especial Dirección de Impuestos y Aduanas Nacionales (DIAN) establezca mediante resolución, el no suministro de información objeto de intercambio por parte del titular es causal de no permitir el trámite respectivo por parte del sujeto obligado a reportar.</w:t>
            </w:r>
            <w:r w:rsidRPr="008F5E58">
              <w:rPr>
                <w:rFonts w:ascii="Cambria" w:hAnsi="Cambria"/>
                <w:sz w:val="20"/>
                <w:szCs w:val="20"/>
              </w:rPr>
              <w:t xml:space="preserve"> </w:t>
            </w:r>
          </w:p>
          <w:p w:rsidR="008F5E58" w:rsidRPr="008F5E58" w:rsidRDefault="008F5E58" w:rsidP="008F5E58">
            <w:pPr>
              <w:jc w:val="both"/>
              <w:rPr>
                <w:rFonts w:ascii="Cambria" w:hAnsi="Cambria"/>
                <w:color w:val="454545"/>
                <w:sz w:val="20"/>
                <w:szCs w:val="20"/>
              </w:rPr>
            </w:pPr>
            <w:r w:rsidRPr="008F5E58">
              <w:rPr>
                <w:rFonts w:ascii="Cambria" w:hAnsi="Cambria"/>
                <w:color w:val="454545"/>
                <w:sz w:val="20"/>
                <w:szCs w:val="20"/>
              </w:rPr>
              <w:t xml:space="preserve"> </w:t>
            </w:r>
          </w:p>
          <w:p w:rsidR="008F5E58" w:rsidRDefault="008F5E58" w:rsidP="008F5E58">
            <w:pPr>
              <w:jc w:val="both"/>
              <w:rPr>
                <w:rFonts w:ascii="Cambria" w:hAnsi="Cambria"/>
                <w:sz w:val="20"/>
                <w:szCs w:val="20"/>
              </w:rPr>
            </w:pPr>
            <w:r w:rsidRPr="008F5E58">
              <w:rPr>
                <w:rStyle w:val="baj"/>
                <w:rFonts w:ascii="Cambria" w:hAnsi="Cambria"/>
                <w:b/>
                <w:bCs/>
                <w:color w:val="343536"/>
                <w:spacing w:val="2"/>
                <w:sz w:val="20"/>
                <w:szCs w:val="20"/>
              </w:rPr>
              <w:t>PARÁGRAFO 2o. </w:t>
            </w:r>
            <w:r w:rsidRPr="008F5E58">
              <w:rPr>
                <w:rFonts w:ascii="Cambria" w:hAnsi="Cambria"/>
                <w:sz w:val="20"/>
                <w:szCs w:val="20"/>
              </w:rPr>
              <w:t xml:space="preserve">La función de fiscalización de los procedimientos de debida diligencia que para el efecto fije la Unidad Administrativa Especial Dirección de </w:t>
            </w:r>
            <w:r w:rsidRPr="008F5E58">
              <w:rPr>
                <w:rFonts w:ascii="Cambria" w:hAnsi="Cambria"/>
                <w:sz w:val="20"/>
                <w:szCs w:val="20"/>
              </w:rPr>
              <w:lastRenderedPageBreak/>
              <w:t>Impuestos y Aduanas Nacionales (DIAN), mediante resolución, está a cargo de la· Unidad Administrativa Especial Dirección de Impuestos y Aduanas Nacionales (DIAN), de acuerdo con las disposiciones procedimentales previstas en el Estatuto Tributario.</w:t>
            </w:r>
          </w:p>
          <w:p w:rsidR="008F5E58" w:rsidRPr="008F5E58" w:rsidRDefault="008F5E58" w:rsidP="008F5E58">
            <w:pPr>
              <w:jc w:val="both"/>
              <w:rPr>
                <w:rFonts w:ascii="Cambria" w:hAnsi="Cambria"/>
                <w:sz w:val="20"/>
                <w:szCs w:val="20"/>
              </w:rPr>
            </w:pPr>
          </w:p>
          <w:p w:rsidR="008F5E58" w:rsidRPr="008F5E58" w:rsidRDefault="008F5E58" w:rsidP="008F5E58">
            <w:pPr>
              <w:jc w:val="both"/>
              <w:rPr>
                <w:rFonts w:ascii="Cambria" w:hAnsi="Cambria"/>
                <w:sz w:val="20"/>
                <w:szCs w:val="20"/>
              </w:rPr>
            </w:pPr>
            <w:r w:rsidRPr="008F5E58">
              <w:rPr>
                <w:rStyle w:val="baj"/>
                <w:rFonts w:ascii="Cambria" w:hAnsi="Cambria"/>
                <w:b/>
                <w:bCs/>
                <w:color w:val="343536"/>
                <w:spacing w:val="2"/>
                <w:sz w:val="20"/>
                <w:szCs w:val="20"/>
              </w:rPr>
              <w:t>PARÁGRAFO 3o. </w:t>
            </w:r>
            <w:r w:rsidRPr="00BE2D86">
              <w:rPr>
                <w:rFonts w:ascii="Cambria" w:hAnsi="Cambria"/>
                <w:sz w:val="20"/>
                <w:szCs w:val="20"/>
                <w:highlight w:val="yellow"/>
              </w:rPr>
              <w:t>La omisión, error o extemporaneidad en el reporte de información por parte del sujeto obligado a suministrar información para efectos de cumplir con los compromisos internacionales en materia de intercambio automático de información,</w:t>
            </w:r>
            <w:r w:rsidRPr="008F5E58">
              <w:rPr>
                <w:rFonts w:ascii="Cambria" w:hAnsi="Cambria"/>
                <w:sz w:val="20"/>
                <w:szCs w:val="20"/>
              </w:rPr>
              <w:t xml:space="preserve"> será </w:t>
            </w:r>
            <w:r w:rsidRPr="00BE2D86">
              <w:rPr>
                <w:rFonts w:ascii="Cambria" w:hAnsi="Cambria"/>
                <w:sz w:val="20"/>
                <w:szCs w:val="20"/>
                <w:highlight w:val="yellow"/>
              </w:rPr>
              <w:t>sancionado conforme a</w:t>
            </w:r>
            <w:r w:rsidRPr="008F5E58">
              <w:rPr>
                <w:rFonts w:ascii="Cambria" w:hAnsi="Cambria"/>
                <w:sz w:val="20"/>
                <w:szCs w:val="20"/>
              </w:rPr>
              <w:t xml:space="preserve"> lo previsto en el artículo 651 del Estatuto Tributario. </w:t>
            </w:r>
            <w:r w:rsidRPr="00BE2D86">
              <w:rPr>
                <w:rFonts w:ascii="Cambria" w:hAnsi="Cambria"/>
                <w:sz w:val="20"/>
                <w:szCs w:val="20"/>
                <w:highlight w:val="yellow"/>
              </w:rPr>
              <w:t>En este caso, el límite máximo de sanción será el de 30.000 UVT</w:t>
            </w:r>
            <w:r w:rsidRPr="008F5E58">
              <w:rPr>
                <w:rFonts w:ascii="Cambria" w:hAnsi="Cambria"/>
                <w:sz w:val="20"/>
                <w:szCs w:val="20"/>
              </w:rPr>
              <w:t xml:space="preserve"> </w:t>
            </w:r>
          </w:p>
          <w:p w:rsidR="008F5E58" w:rsidRPr="008F5E58" w:rsidRDefault="008F5E58" w:rsidP="008F5E58">
            <w:pPr>
              <w:jc w:val="both"/>
              <w:rPr>
                <w:rFonts w:ascii="Cambria" w:hAnsi="Cambria"/>
                <w:b/>
                <w:bCs/>
                <w:color w:val="000000" w:themeColor="text1"/>
                <w:sz w:val="20"/>
                <w:szCs w:val="20"/>
              </w:rPr>
            </w:pPr>
          </w:p>
        </w:tc>
      </w:tr>
      <w:tr w:rsidR="008F5E58" w:rsidTr="0059378C">
        <w:tc>
          <w:tcPr>
            <w:tcW w:w="4958" w:type="dxa"/>
          </w:tcPr>
          <w:p w:rsidR="008F5E58" w:rsidRPr="005F076B" w:rsidRDefault="00860E9D" w:rsidP="008F5E58">
            <w:pPr>
              <w:jc w:val="both"/>
              <w:rPr>
                <w:rFonts w:ascii="Cambria" w:hAnsi="Cambria"/>
                <w:b/>
                <w:bCs/>
                <w:color w:val="000000" w:themeColor="text1"/>
                <w:sz w:val="20"/>
                <w:szCs w:val="20"/>
              </w:rPr>
            </w:pPr>
            <w:r>
              <w:rPr>
                <w:rFonts w:ascii="Cambria" w:hAnsi="Cambria"/>
                <w:b/>
                <w:bCs/>
                <w:color w:val="000000" w:themeColor="text1"/>
                <w:sz w:val="20"/>
                <w:szCs w:val="20"/>
              </w:rPr>
              <w:lastRenderedPageBreak/>
              <w:t>Artículo 631-7 (No existía)</w:t>
            </w:r>
          </w:p>
        </w:tc>
        <w:tc>
          <w:tcPr>
            <w:tcW w:w="4865" w:type="dxa"/>
          </w:tcPr>
          <w:p w:rsidR="00860E9D" w:rsidRPr="00860E9D" w:rsidRDefault="00860E9D" w:rsidP="00860E9D">
            <w:pPr>
              <w:jc w:val="both"/>
              <w:rPr>
                <w:rFonts w:ascii="Cambria" w:hAnsi="Cambria"/>
                <w:sz w:val="20"/>
                <w:szCs w:val="20"/>
                <w:highlight w:val="yellow"/>
              </w:rPr>
            </w:pPr>
            <w:r w:rsidRPr="00860E9D">
              <w:rPr>
                <w:rFonts w:ascii="Cambria" w:hAnsi="Cambria"/>
                <w:b/>
                <w:bCs/>
                <w:sz w:val="20"/>
                <w:szCs w:val="20"/>
                <w:highlight w:val="yellow"/>
              </w:rPr>
              <w:t xml:space="preserve">Artículo 631-7. Reporte de operaciones con activos digitales </w:t>
            </w:r>
            <w:r w:rsidRPr="00860E9D">
              <w:rPr>
                <w:rStyle w:val="iaj"/>
                <w:b/>
                <w:bCs/>
                <w:color w:val="FF0000"/>
                <w:spacing w:val="2"/>
                <w:highlight w:val="yellow"/>
              </w:rPr>
              <w:t>(</w:t>
            </w:r>
            <w:r w:rsidRPr="00860E9D">
              <w:rPr>
                <w:rStyle w:val="iaj"/>
                <w:rFonts w:ascii="Cambria" w:hAnsi="Cambria"/>
                <w:b/>
                <w:bCs/>
                <w:color w:val="FF0000"/>
                <w:spacing w:val="2"/>
                <w:sz w:val="20"/>
                <w:szCs w:val="20"/>
                <w:highlight w:val="yellow"/>
              </w:rPr>
              <w:t>agregado</w:t>
            </w:r>
            <w:r w:rsidRPr="00860E9D">
              <w:rPr>
                <w:rStyle w:val="iaj"/>
                <w:color w:val="FF0000"/>
                <w:spacing w:val="2"/>
                <w:highlight w:val="yellow"/>
              </w:rPr>
              <w:t xml:space="preserve"> </w:t>
            </w:r>
            <w:r w:rsidRPr="00860E9D">
              <w:rPr>
                <w:rStyle w:val="iaj"/>
                <w:rFonts w:ascii="Cambria" w:hAnsi="Cambria"/>
                <w:b/>
                <w:bCs/>
                <w:color w:val="FF0000"/>
                <w:spacing w:val="2"/>
                <w:sz w:val="20"/>
                <w:szCs w:val="20"/>
                <w:highlight w:val="yellow"/>
              </w:rPr>
              <w:t>con artículo 5</w:t>
            </w:r>
            <w:r w:rsidR="00723051">
              <w:rPr>
                <w:rStyle w:val="iaj"/>
                <w:rFonts w:ascii="Cambria" w:hAnsi="Cambria"/>
                <w:b/>
                <w:bCs/>
                <w:color w:val="FF0000"/>
                <w:spacing w:val="2"/>
                <w:sz w:val="20"/>
                <w:szCs w:val="20"/>
                <w:highlight w:val="yellow"/>
              </w:rPr>
              <w:t>2</w:t>
            </w:r>
            <w:r w:rsidRPr="00860E9D">
              <w:rPr>
                <w:rStyle w:val="iaj"/>
                <w:rFonts w:ascii="Cambria" w:hAnsi="Cambria"/>
                <w:b/>
                <w:bCs/>
                <w:color w:val="FF0000"/>
                <w:spacing w:val="2"/>
                <w:sz w:val="20"/>
                <w:szCs w:val="20"/>
                <w:highlight w:val="yellow"/>
              </w:rPr>
              <w:t xml:space="preserve"> proyecto de </w:t>
            </w:r>
            <w:r w:rsidRPr="00852E78">
              <w:rPr>
                <w:rStyle w:val="iaj"/>
                <w:rFonts w:ascii="Cambria" w:hAnsi="Cambria"/>
                <w:b/>
                <w:bCs/>
                <w:color w:val="FF0000"/>
                <w:spacing w:val="2"/>
                <w:sz w:val="20"/>
                <w:szCs w:val="20"/>
                <w:highlight w:val="yellow"/>
              </w:rPr>
              <w:t>Ley</w:t>
            </w:r>
            <w:r w:rsidR="00852E78" w:rsidRPr="00852E78">
              <w:rPr>
                <w:rStyle w:val="iaj"/>
                <w:rFonts w:ascii="Cambria" w:hAnsi="Cambria"/>
                <w:b/>
                <w:bCs/>
                <w:color w:val="FF0000"/>
                <w:spacing w:val="2"/>
                <w:sz w:val="20"/>
                <w:szCs w:val="20"/>
                <w:highlight w:val="yellow"/>
              </w:rPr>
              <w:t xml:space="preserve"> septiembre de 2025</w:t>
            </w:r>
            <w:r w:rsidRPr="00852E78">
              <w:rPr>
                <w:rStyle w:val="iaj"/>
                <w:rFonts w:ascii="Cambria" w:hAnsi="Cambria"/>
                <w:b/>
                <w:bCs/>
                <w:color w:val="FF0000"/>
                <w:spacing w:val="2"/>
                <w:sz w:val="20"/>
                <w:szCs w:val="20"/>
                <w:highlight w:val="yellow"/>
              </w:rPr>
              <w:t>)</w:t>
            </w:r>
            <w:r w:rsidRPr="00852E78">
              <w:rPr>
                <w:rStyle w:val="baj"/>
                <w:rFonts w:ascii="Cambria" w:hAnsi="Cambria"/>
                <w:b/>
                <w:bCs/>
                <w:color w:val="000000" w:themeColor="text1"/>
                <w:spacing w:val="2"/>
                <w:sz w:val="20"/>
                <w:szCs w:val="20"/>
                <w:highlight w:val="yellow"/>
              </w:rPr>
              <w:t>. </w:t>
            </w:r>
            <w:r w:rsidRPr="00852E78">
              <w:rPr>
                <w:rFonts w:ascii="Cambria" w:hAnsi="Cambria"/>
                <w:b/>
                <w:bCs/>
                <w:sz w:val="20"/>
                <w:szCs w:val="20"/>
                <w:highlight w:val="yellow"/>
              </w:rPr>
              <w:t xml:space="preserve"> </w:t>
            </w:r>
            <w:r w:rsidRPr="00860E9D">
              <w:rPr>
                <w:rFonts w:ascii="Cambria" w:hAnsi="Cambria"/>
                <w:sz w:val="20"/>
                <w:szCs w:val="20"/>
                <w:highlight w:val="yellow"/>
              </w:rPr>
              <w:t xml:space="preserve">Los proveedores de servicios de activos digitales domiciliados en Colombia o con operaciones en el país deberán reportar a la Dirección de Impuestos y Aduanas Nacionales – DIAN, de manera individualizada, la información relacionada con las operaciones que realicen sus usuarios y que impliquen la conversión de moneda de curso legal a activos digitales o de activos digitales a moneda de curso legal. </w:t>
            </w:r>
          </w:p>
          <w:p w:rsidR="00860E9D" w:rsidRDefault="00860E9D" w:rsidP="00860E9D">
            <w:pPr>
              <w:jc w:val="both"/>
              <w:rPr>
                <w:rFonts w:ascii="Cambria" w:hAnsi="Cambria"/>
                <w:sz w:val="20"/>
                <w:szCs w:val="20"/>
                <w:highlight w:val="yellow"/>
              </w:rPr>
            </w:pPr>
          </w:p>
          <w:p w:rsidR="008F5E58" w:rsidRDefault="00860E9D" w:rsidP="00860E9D">
            <w:pPr>
              <w:jc w:val="both"/>
              <w:rPr>
                <w:rFonts w:ascii="Cambria" w:hAnsi="Cambria"/>
                <w:sz w:val="20"/>
                <w:szCs w:val="20"/>
                <w:highlight w:val="yellow"/>
              </w:rPr>
            </w:pPr>
            <w:r w:rsidRPr="00860E9D">
              <w:rPr>
                <w:rFonts w:ascii="Cambria" w:hAnsi="Cambria"/>
                <w:sz w:val="20"/>
                <w:szCs w:val="20"/>
                <w:highlight w:val="yellow"/>
              </w:rPr>
              <w:t>Los proveedores de servicios de activos digitales únicamente deberán reportar las personas naturales o jurídicas que realicen las operaciones de que trata el inciso anterior que, en total, sean iguales o superiores a 1.400 UVT durante el respectivo año gravable. El contenido, periodicidad, forma y condiciones para el reporte serán establecidos mediante resolución expedida por la Dirección de Impuestos y Aduanas Nacionales. El incumplimiento se sujeta a las sanciones previstas en el parágrafo 3 del artículo 631-4 del Estatuto Tributario.</w:t>
            </w:r>
          </w:p>
          <w:p w:rsidR="00860E9D" w:rsidRPr="00860E9D" w:rsidRDefault="00860E9D" w:rsidP="00860E9D">
            <w:pPr>
              <w:jc w:val="both"/>
              <w:rPr>
                <w:rFonts w:ascii="Cambria" w:hAnsi="Cambria"/>
                <w:b/>
                <w:bCs/>
                <w:color w:val="000000" w:themeColor="text1"/>
                <w:sz w:val="20"/>
                <w:szCs w:val="20"/>
                <w:highlight w:val="yellow"/>
              </w:rPr>
            </w:pPr>
          </w:p>
        </w:tc>
      </w:tr>
      <w:tr w:rsidR="00C223CC" w:rsidTr="0059378C">
        <w:tc>
          <w:tcPr>
            <w:tcW w:w="4958" w:type="dxa"/>
          </w:tcPr>
          <w:p w:rsidR="00C223CC" w:rsidRDefault="00C223CC" w:rsidP="00C223CC">
            <w:pPr>
              <w:jc w:val="both"/>
              <w:rPr>
                <w:rFonts w:ascii="Cambria" w:hAnsi="Cambria"/>
                <w:color w:val="343536"/>
                <w:spacing w:val="2"/>
                <w:sz w:val="20"/>
                <w:szCs w:val="20"/>
              </w:rPr>
            </w:pPr>
            <w:bookmarkStart w:id="37" w:name="638"/>
            <w:r w:rsidRPr="00C223CC">
              <w:rPr>
                <w:rFonts w:ascii="Cambria" w:hAnsi="Cambria"/>
                <w:b/>
                <w:bCs/>
                <w:color w:val="000000" w:themeColor="text1"/>
                <w:spacing w:val="2"/>
                <w:sz w:val="20"/>
                <w:szCs w:val="20"/>
              </w:rPr>
              <w:t>Articulo 638. Prescripción de la facultad para imponer sanciones</w:t>
            </w:r>
            <w:r w:rsidRPr="00C223CC">
              <w:rPr>
                <w:rFonts w:ascii="Cambria" w:hAnsi="Cambria"/>
                <w:color w:val="00A9E0"/>
                <w:spacing w:val="2"/>
                <w:sz w:val="20"/>
                <w:szCs w:val="20"/>
                <w:u w:val="single"/>
              </w:rPr>
              <w:t>.</w:t>
            </w:r>
            <w:bookmarkEnd w:id="37"/>
            <w:r w:rsidRPr="00C223CC">
              <w:rPr>
                <w:rFonts w:ascii="Cambria" w:hAnsi="Cambria"/>
                <w:color w:val="343536"/>
                <w:spacing w:val="2"/>
                <w:sz w:val="20"/>
                <w:szCs w:val="20"/>
              </w:rPr>
              <w:t xml:space="preserve">  Cuando las sanciones se impongan en liquidaciones oficiales, la facultad para imponerlas prescribe en el mismo término que existe para practicar la respectiva liquidación oficial. Cuando las sanciones se impongan en resolución independiente, deberá formularse el pliego de cargos correspondiente, dentro de los dos años siguientes a la fecha en que se presentó la declaración de renta y complementarios o de ingresos y patrimonio, del período durante el cual ocurrió la irregularidad sancionable o cesó la irregularidad, para el caso de las infracciones </w:t>
            </w:r>
            <w:proofErr w:type="spellStart"/>
            <w:r w:rsidRPr="00C223CC">
              <w:rPr>
                <w:rFonts w:ascii="Cambria" w:hAnsi="Cambria"/>
                <w:color w:val="343536"/>
                <w:spacing w:val="2"/>
                <w:sz w:val="20"/>
                <w:szCs w:val="20"/>
              </w:rPr>
              <w:t>continúadas</w:t>
            </w:r>
            <w:proofErr w:type="spellEnd"/>
            <w:r w:rsidRPr="00C223CC">
              <w:rPr>
                <w:rFonts w:ascii="Cambria" w:hAnsi="Cambria"/>
                <w:color w:val="343536"/>
                <w:spacing w:val="2"/>
                <w:sz w:val="20"/>
                <w:szCs w:val="20"/>
              </w:rPr>
              <w:t xml:space="preserve">. </w:t>
            </w:r>
            <w:r>
              <w:rPr>
                <w:rFonts w:ascii="Cambria" w:hAnsi="Cambria"/>
                <w:color w:val="343536"/>
                <w:spacing w:val="2"/>
                <w:sz w:val="20"/>
                <w:szCs w:val="20"/>
              </w:rPr>
              <w:t>s</w:t>
            </w:r>
            <w:r w:rsidRPr="00C223CC">
              <w:rPr>
                <w:rFonts w:ascii="Cambria" w:hAnsi="Cambria"/>
                <w:color w:val="343536"/>
                <w:spacing w:val="2"/>
                <w:sz w:val="20"/>
                <w:szCs w:val="20"/>
              </w:rPr>
              <w:t>alvo en el caso de la sanción por no declarar, de los intereses de mora, y de las sanciones previstas en los artículos 659, 659-</w:t>
            </w:r>
            <w:r w:rsidRPr="00C223CC">
              <w:rPr>
                <w:rFonts w:ascii="Cambria" w:hAnsi="Cambria"/>
                <w:color w:val="343536"/>
                <w:spacing w:val="2"/>
                <w:sz w:val="20"/>
                <w:szCs w:val="20"/>
              </w:rPr>
              <w:lastRenderedPageBreak/>
              <w:t>1 y 660 del Estatuto Tributario, las cuales prescriben en el término de cinco años.</w:t>
            </w:r>
          </w:p>
          <w:p w:rsidR="00C223CC" w:rsidRDefault="00C223CC" w:rsidP="00C223CC">
            <w:pPr>
              <w:jc w:val="both"/>
              <w:rPr>
                <w:color w:val="343536"/>
              </w:rPr>
            </w:pPr>
          </w:p>
          <w:p w:rsidR="00C223CC" w:rsidRPr="00C223CC" w:rsidRDefault="00C223CC" w:rsidP="00C223CC">
            <w:pPr>
              <w:jc w:val="both"/>
              <w:rPr>
                <w:rFonts w:ascii="Cambria" w:hAnsi="Cambria"/>
                <w:color w:val="343536"/>
                <w:spacing w:val="2"/>
                <w:sz w:val="20"/>
                <w:szCs w:val="20"/>
              </w:rPr>
            </w:pPr>
          </w:p>
          <w:p w:rsidR="00C223CC" w:rsidRPr="00C223CC" w:rsidRDefault="00C223CC" w:rsidP="00C223CC">
            <w:pPr>
              <w:jc w:val="both"/>
              <w:rPr>
                <w:rFonts w:ascii="Cambria" w:hAnsi="Cambria"/>
                <w:color w:val="343536"/>
                <w:spacing w:val="2"/>
                <w:sz w:val="20"/>
                <w:szCs w:val="20"/>
              </w:rPr>
            </w:pPr>
            <w:r w:rsidRPr="00C223CC">
              <w:rPr>
                <w:rFonts w:ascii="Cambria" w:hAnsi="Cambria"/>
                <w:color w:val="343536"/>
                <w:spacing w:val="2"/>
                <w:sz w:val="20"/>
                <w:szCs w:val="20"/>
              </w:rPr>
              <w:t>Vencido el término de respuesta del pliego de cargos, la Administración Tributaria tendrá un plazo de seis meses para aplicar la sanción correspondiente, previa la práctica de las pruebas a que hubiere lugar.</w:t>
            </w:r>
          </w:p>
          <w:p w:rsidR="00C223CC" w:rsidRPr="00C223CC" w:rsidRDefault="00C223CC" w:rsidP="00C223CC">
            <w:pPr>
              <w:jc w:val="both"/>
              <w:rPr>
                <w:rFonts w:ascii="Cambria" w:hAnsi="Cambria"/>
                <w:b/>
                <w:bCs/>
                <w:color w:val="000000" w:themeColor="text1"/>
                <w:sz w:val="20"/>
                <w:szCs w:val="20"/>
              </w:rPr>
            </w:pPr>
          </w:p>
        </w:tc>
        <w:tc>
          <w:tcPr>
            <w:tcW w:w="4865" w:type="dxa"/>
          </w:tcPr>
          <w:p w:rsidR="00C223CC" w:rsidRDefault="00C223CC" w:rsidP="00C223CC">
            <w:pPr>
              <w:jc w:val="both"/>
              <w:rPr>
                <w:rFonts w:ascii="Cambria" w:hAnsi="Cambria"/>
                <w:color w:val="343536"/>
                <w:spacing w:val="2"/>
                <w:sz w:val="20"/>
                <w:szCs w:val="20"/>
              </w:rPr>
            </w:pPr>
            <w:r w:rsidRPr="00C223CC">
              <w:rPr>
                <w:rFonts w:ascii="Cambria" w:hAnsi="Cambria"/>
                <w:b/>
                <w:bCs/>
                <w:color w:val="000000" w:themeColor="text1"/>
                <w:spacing w:val="2"/>
                <w:sz w:val="20"/>
                <w:szCs w:val="20"/>
              </w:rPr>
              <w:lastRenderedPageBreak/>
              <w:t>Articulo 638. Prescripción de la facultad para imponer sanciones</w:t>
            </w:r>
            <w:r>
              <w:rPr>
                <w:rFonts w:ascii="Cambria" w:hAnsi="Cambria"/>
                <w:b/>
                <w:bCs/>
                <w:color w:val="000000" w:themeColor="text1"/>
                <w:spacing w:val="2"/>
                <w:sz w:val="20"/>
                <w:szCs w:val="20"/>
              </w:rPr>
              <w:t xml:space="preserve"> </w:t>
            </w:r>
            <w:r w:rsidRPr="002213C4">
              <w:rPr>
                <w:rStyle w:val="iaj"/>
                <w:rFonts w:ascii="Cambria" w:hAnsi="Cambria"/>
                <w:b/>
                <w:bCs/>
                <w:color w:val="FF0000"/>
                <w:spacing w:val="2"/>
                <w:sz w:val="20"/>
                <w:szCs w:val="20"/>
              </w:rPr>
              <w:t>(modificado</w:t>
            </w:r>
            <w:r w:rsidRPr="002213C4">
              <w:rPr>
                <w:rStyle w:val="iaj"/>
                <w:color w:val="FF0000"/>
                <w:spacing w:val="2"/>
              </w:rPr>
              <w:t xml:space="preserve"> </w:t>
            </w:r>
            <w:r w:rsidRPr="002213C4">
              <w:rPr>
                <w:rStyle w:val="iaj"/>
                <w:rFonts w:ascii="Cambria" w:hAnsi="Cambria"/>
                <w:b/>
                <w:bCs/>
                <w:color w:val="FF0000"/>
                <w:spacing w:val="2"/>
                <w:sz w:val="20"/>
                <w:szCs w:val="20"/>
              </w:rPr>
              <w:t>con artículo 69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sidRPr="002213C4">
              <w:rPr>
                <w:rStyle w:val="iaj"/>
                <w:rFonts w:ascii="Cambria" w:hAnsi="Cambria"/>
                <w:b/>
                <w:bCs/>
                <w:color w:val="FF0000"/>
                <w:spacing w:val="2"/>
                <w:sz w:val="20"/>
                <w:szCs w:val="20"/>
              </w:rPr>
              <w:t>)</w:t>
            </w:r>
            <w:r w:rsidRPr="002213C4">
              <w:rPr>
                <w:rStyle w:val="baj"/>
                <w:rFonts w:ascii="Cambria" w:hAnsi="Cambria"/>
                <w:b/>
                <w:bCs/>
                <w:color w:val="000000" w:themeColor="text1"/>
                <w:spacing w:val="2"/>
                <w:sz w:val="20"/>
                <w:szCs w:val="20"/>
              </w:rPr>
              <w:t>. </w:t>
            </w:r>
            <w:r w:rsidRPr="002213C4">
              <w:rPr>
                <w:rFonts w:ascii="Cambria" w:hAnsi="Cambria"/>
                <w:color w:val="00A9E0"/>
                <w:spacing w:val="2"/>
                <w:sz w:val="20"/>
                <w:szCs w:val="20"/>
                <w:u w:val="single"/>
              </w:rPr>
              <w:t>.</w:t>
            </w:r>
            <w:r w:rsidRPr="00C223CC">
              <w:rPr>
                <w:rFonts w:ascii="Cambria" w:hAnsi="Cambria"/>
                <w:color w:val="343536"/>
                <w:spacing w:val="2"/>
                <w:sz w:val="20"/>
                <w:szCs w:val="20"/>
              </w:rPr>
              <w:t xml:space="preserve">  Cuando las sanciones se impongan en liquidaciones oficiales, la facultad para imponerlas prescribe en el mismo término que existe para practicar la respectiva liquidación oficial. Cuando las sanciones se impongan en resolución independiente, deberá formularse el pliego de cargos correspondiente, dentro de los dos años siguientes a la fecha en que se presentó la declaración de renta y complementarios o de ingresos y patrimonio, del período durante el cual ocurrió la irregularidad sancionable o cesó la irregularidad, para el caso de las infracciones </w:t>
            </w:r>
            <w:proofErr w:type="spellStart"/>
            <w:r w:rsidRPr="00C223CC">
              <w:rPr>
                <w:rFonts w:ascii="Cambria" w:hAnsi="Cambria"/>
                <w:color w:val="343536"/>
                <w:spacing w:val="2"/>
                <w:sz w:val="20"/>
                <w:szCs w:val="20"/>
              </w:rPr>
              <w:t>continúadas</w:t>
            </w:r>
            <w:proofErr w:type="spellEnd"/>
            <w:r w:rsidRPr="00C223CC">
              <w:rPr>
                <w:rFonts w:ascii="Cambria" w:hAnsi="Cambria"/>
                <w:color w:val="343536"/>
                <w:spacing w:val="2"/>
                <w:sz w:val="20"/>
                <w:szCs w:val="20"/>
              </w:rPr>
              <w:t xml:space="preserve">. </w:t>
            </w:r>
            <w:r>
              <w:rPr>
                <w:rFonts w:ascii="Cambria" w:hAnsi="Cambria"/>
                <w:color w:val="343536"/>
                <w:spacing w:val="2"/>
                <w:sz w:val="20"/>
                <w:szCs w:val="20"/>
              </w:rPr>
              <w:t>s</w:t>
            </w:r>
            <w:r w:rsidRPr="00C223CC">
              <w:rPr>
                <w:rFonts w:ascii="Cambria" w:hAnsi="Cambria"/>
                <w:color w:val="343536"/>
                <w:spacing w:val="2"/>
                <w:sz w:val="20"/>
                <w:szCs w:val="20"/>
              </w:rPr>
              <w:t xml:space="preserve">alvo en el caso de la sanción por no declarar, de los intereses </w:t>
            </w:r>
            <w:r w:rsidRPr="00C223CC">
              <w:rPr>
                <w:rFonts w:ascii="Cambria" w:hAnsi="Cambria"/>
                <w:color w:val="343536"/>
                <w:spacing w:val="2"/>
                <w:sz w:val="20"/>
                <w:szCs w:val="20"/>
              </w:rPr>
              <w:lastRenderedPageBreak/>
              <w:t>de mora, y de las sanciones previstas en los artículos 659, 659-1 y 660 del Estatuto Tributario, las cuales prescriben en el término de cinco años.</w:t>
            </w:r>
          </w:p>
          <w:p w:rsidR="00C223CC" w:rsidRPr="00C223CC" w:rsidRDefault="00C223CC" w:rsidP="00C223CC">
            <w:pPr>
              <w:jc w:val="both"/>
              <w:rPr>
                <w:rFonts w:ascii="Cambria" w:hAnsi="Cambria"/>
                <w:color w:val="343536"/>
                <w:spacing w:val="2"/>
                <w:sz w:val="20"/>
                <w:szCs w:val="20"/>
              </w:rPr>
            </w:pPr>
          </w:p>
          <w:p w:rsidR="00C223CC" w:rsidRDefault="00C223CC" w:rsidP="00C223CC">
            <w:pPr>
              <w:jc w:val="both"/>
              <w:rPr>
                <w:rFonts w:ascii="Cambria" w:hAnsi="Cambria"/>
                <w:color w:val="343536"/>
                <w:spacing w:val="2"/>
                <w:sz w:val="20"/>
                <w:szCs w:val="20"/>
              </w:rPr>
            </w:pPr>
            <w:r w:rsidRPr="00C223CC">
              <w:rPr>
                <w:rFonts w:ascii="Cambria" w:hAnsi="Cambria"/>
                <w:color w:val="343536"/>
                <w:spacing w:val="2"/>
                <w:sz w:val="20"/>
                <w:szCs w:val="20"/>
              </w:rPr>
              <w:t>Vencido el término de respuesta del pliego de cargos, la Administración Tributaria tendrá un plazo de seis meses para aplicar la sanción correspondiente, previa la práctica de las pruebas a que hubiere lugar.</w:t>
            </w:r>
          </w:p>
          <w:p w:rsidR="00C223CC" w:rsidRDefault="00C223CC" w:rsidP="00C223CC">
            <w:pPr>
              <w:jc w:val="both"/>
              <w:rPr>
                <w:color w:val="343536"/>
              </w:rPr>
            </w:pPr>
          </w:p>
          <w:p w:rsidR="00C223CC" w:rsidRPr="00C223CC" w:rsidRDefault="00C223CC" w:rsidP="00C223CC">
            <w:pPr>
              <w:jc w:val="both"/>
              <w:rPr>
                <w:rFonts w:ascii="Cambria" w:hAnsi="Cambria"/>
                <w:color w:val="343536"/>
                <w:spacing w:val="2"/>
                <w:sz w:val="20"/>
                <w:szCs w:val="20"/>
              </w:rPr>
            </w:pPr>
            <w:r w:rsidRPr="00C223CC">
              <w:rPr>
                <w:rFonts w:ascii="Cambria" w:hAnsi="Cambria"/>
                <w:b/>
                <w:bCs/>
                <w:color w:val="000000" w:themeColor="text1"/>
                <w:spacing w:val="2"/>
                <w:sz w:val="20"/>
                <w:szCs w:val="20"/>
                <w:highlight w:val="yellow"/>
              </w:rPr>
              <w:t>Parágrafo.</w:t>
            </w:r>
            <w:r w:rsidRPr="00C223CC">
              <w:rPr>
                <w:rFonts w:ascii="Cambria" w:hAnsi="Cambria"/>
                <w:color w:val="000000" w:themeColor="text1"/>
                <w:spacing w:val="2"/>
                <w:sz w:val="20"/>
                <w:szCs w:val="20"/>
                <w:highlight w:val="yellow"/>
              </w:rPr>
              <w:t xml:space="preserve"> </w:t>
            </w:r>
            <w:r w:rsidRPr="00C223CC">
              <w:rPr>
                <w:rFonts w:ascii="Cambria" w:hAnsi="Cambria"/>
                <w:color w:val="343536"/>
                <w:spacing w:val="2"/>
                <w:sz w:val="20"/>
                <w:szCs w:val="20"/>
                <w:highlight w:val="yellow"/>
              </w:rPr>
              <w:t>Cuando no sea posible asociar el incumplimiento de la irregularidad sancionable, a un periodo de la declaración de renta o de ingresos y patrimonio, el término de los dos (2) años para formular el pliego de cargos se contará desde la fecha en que se incumplió la obligación o cesó el incumplimiento, en los casos de infracciones continuadas.</w:t>
            </w:r>
          </w:p>
          <w:p w:rsidR="00C223CC" w:rsidRPr="00C223CC" w:rsidRDefault="00C223CC" w:rsidP="00C223CC">
            <w:pPr>
              <w:jc w:val="both"/>
              <w:rPr>
                <w:rFonts w:ascii="Cambria" w:hAnsi="Cambria"/>
                <w:b/>
                <w:bCs/>
                <w:color w:val="000000" w:themeColor="text1"/>
                <w:sz w:val="20"/>
                <w:szCs w:val="20"/>
              </w:rPr>
            </w:pPr>
          </w:p>
        </w:tc>
      </w:tr>
      <w:tr w:rsidR="00045630" w:rsidTr="0059378C">
        <w:tc>
          <w:tcPr>
            <w:tcW w:w="4958" w:type="dxa"/>
          </w:tcPr>
          <w:p w:rsidR="00045630" w:rsidRDefault="00045630" w:rsidP="00045630">
            <w:pPr>
              <w:jc w:val="both"/>
              <w:rPr>
                <w:rFonts w:ascii="Cambria" w:hAnsi="Cambria"/>
                <w:color w:val="454545"/>
                <w:sz w:val="20"/>
                <w:szCs w:val="20"/>
              </w:rPr>
            </w:pPr>
            <w:bookmarkStart w:id="38" w:name="643"/>
            <w:r w:rsidRPr="00045630">
              <w:rPr>
                <w:rFonts w:ascii="Cambria" w:hAnsi="Cambria"/>
                <w:b/>
                <w:bCs/>
                <w:color w:val="000000" w:themeColor="text1"/>
                <w:sz w:val="20"/>
                <w:szCs w:val="20"/>
              </w:rPr>
              <w:lastRenderedPageBreak/>
              <w:t>Articulo 643. Sanción por no declarar</w:t>
            </w:r>
            <w:r w:rsidRPr="00045630">
              <w:rPr>
                <w:rFonts w:ascii="Cambria" w:hAnsi="Cambria"/>
                <w:color w:val="00A9E0"/>
                <w:sz w:val="20"/>
                <w:szCs w:val="20"/>
                <w:u w:val="single"/>
              </w:rPr>
              <w:t>.</w:t>
            </w:r>
            <w:bookmarkEnd w:id="38"/>
            <w:r w:rsidRPr="00045630">
              <w:rPr>
                <w:rFonts w:ascii="Cambria" w:hAnsi="Cambria"/>
                <w:sz w:val="20"/>
                <w:szCs w:val="20"/>
              </w:rPr>
              <w:t>  Los contribuyentes, agentes retenedores o responsables obligados a declarar, que omitan la presentación de las declaraciones tributarias, serán objeto de una sanción equivalente a:</w:t>
            </w:r>
          </w:p>
          <w:p w:rsid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D4647F" w:rsidRPr="00045630" w:rsidRDefault="00D4647F" w:rsidP="00045630">
            <w:pPr>
              <w:jc w:val="both"/>
              <w:rPr>
                <w:rFonts w:ascii="Cambria" w:hAnsi="Cambria"/>
                <w:color w:val="454545"/>
                <w:sz w:val="20"/>
                <w:szCs w:val="20"/>
              </w:rPr>
            </w:pPr>
          </w:p>
          <w:p w:rsidR="00045630" w:rsidRDefault="00045630" w:rsidP="00045630">
            <w:pPr>
              <w:jc w:val="both"/>
              <w:rPr>
                <w:rFonts w:ascii="Cambria" w:hAnsi="Cambria"/>
                <w:color w:val="454545"/>
                <w:sz w:val="20"/>
                <w:szCs w:val="20"/>
              </w:rPr>
            </w:pPr>
            <w:r w:rsidRPr="00045630">
              <w:rPr>
                <w:rFonts w:ascii="Cambria" w:hAnsi="Cambria"/>
                <w:sz w:val="20"/>
                <w:szCs w:val="20"/>
              </w:rPr>
              <w:t>1. En el caso de que la omisión se refiera a la declaración del impuesto sobre la renta y complementarios, al veinte por ciento (20%) del valor de las consignaciones bancarias o ingresos brutos de quien persiste en su incumplimiento, que determine la Administración Tributaria por el período al cual corresponda la declaración no presentada, o al veinte por ciento (20%) de los ingresos brutos que figuren en la última declaración de renta presentada, el que fuere superior.</w:t>
            </w:r>
          </w:p>
          <w:p w:rsid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D4647F" w:rsidRDefault="00D4647F" w:rsidP="00045630">
            <w:pPr>
              <w:jc w:val="both"/>
              <w:rPr>
                <w:rFonts w:ascii="Cambria" w:hAnsi="Cambria"/>
                <w:color w:val="454545"/>
                <w:sz w:val="20"/>
                <w:szCs w:val="20"/>
              </w:rPr>
            </w:pPr>
          </w:p>
          <w:p w:rsidR="00D4647F" w:rsidRPr="00045630" w:rsidRDefault="00D4647F" w:rsidP="00045630">
            <w:pPr>
              <w:jc w:val="both"/>
              <w:rPr>
                <w:rFonts w:ascii="Cambria" w:hAnsi="Cambria"/>
                <w:color w:val="454545"/>
                <w:sz w:val="20"/>
                <w:szCs w:val="20"/>
              </w:rPr>
            </w:pPr>
          </w:p>
          <w:p w:rsidR="00045630" w:rsidRDefault="00045630" w:rsidP="00045630">
            <w:pPr>
              <w:jc w:val="both"/>
              <w:rPr>
                <w:rFonts w:ascii="Cambria" w:hAnsi="Cambria"/>
                <w:color w:val="454545"/>
                <w:sz w:val="20"/>
                <w:szCs w:val="20"/>
              </w:rPr>
            </w:pPr>
            <w:r w:rsidRPr="00045630">
              <w:rPr>
                <w:rFonts w:ascii="Cambria" w:hAnsi="Cambria"/>
                <w:sz w:val="20"/>
                <w:szCs w:val="20"/>
              </w:rPr>
              <w:t>2. En el caso de que la omisión se refiera a la declaración del impuesto sobre las ventas, a la declaración del impuesto nacional al consumo, al diez por ciento (10%) de las consignaciones bancarias o ingresos brutos de quien persiste en su incumplimiento, que determine la Administración Tributaria por el período al cual corresponda la declaración no presentada, o al diez por ciento (10%) de los ingresos brutos que figuren en la última declaración de ventas o declaración del impuesto nacional al consumo, según el caso, el que fuere superior.</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 xml:space="preserve">3. En el caso de que la omisión se refiera a la declaración de retenciones, al diez por ciento (10%) de los cheques girados u otros medios de pago canalizados a través del sistema financiero, o costos y gastos de quien persiste en su incumplimiento, que determine la Administración </w:t>
            </w:r>
            <w:r w:rsidRPr="00045630">
              <w:rPr>
                <w:rFonts w:ascii="Cambria" w:hAnsi="Cambria"/>
                <w:sz w:val="20"/>
                <w:szCs w:val="20"/>
              </w:rPr>
              <w:lastRenderedPageBreak/>
              <w:t>Tributaria por el período al cual corresponda la declaración no presentada, o al ciento por ciento (100%) de las retenciones que figuren en la última declaración de retenciones presentada, el que fuere superior.</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4. En el caso de que la omisión se refiera a la declaración del impuesto de timbre, a cinco (5) veces 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sz w:val="20"/>
                <w:szCs w:val="20"/>
              </w:rPr>
            </w:pPr>
            <w:r w:rsidRPr="00045630">
              <w:rPr>
                <w:rFonts w:ascii="Cambria" w:hAnsi="Cambria"/>
                <w:sz w:val="20"/>
                <w:szCs w:val="20"/>
              </w:rPr>
              <w:t>5. En el caso de que la omisión se refiera a la declaración del impuesto nacional a la gasolina y al ACPM, o al impuesto nacional al carbono, al veinte por ciento (20%) del valor del impuesto que ha debido pagarse.</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6. En el caso de que la omisión se refiera a la declaración del gravamen a los movimientos financieros, al cinco por ciento (5%) del valor del impuesto que ha debido pagarse.</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7. En el caso de que la omisión se refiera a la declaración de ingresos y patrimonio, al uno por ciento (1%) del patrimonio líquido de la entidad obligada a su presentación.</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8. En el caso de que la omisión se refiera a la declaración anual de activos en el exterior, al cinco por ciento (5%) del patrimonio bruto que figure en la última declaración del impuesto sobre la renta y complementarios presentada, o al cinco por ciento (5%) del patrimonio bruto que determine la Administración Tributaria por el período a que corresponda la declaración no presentada, el que fuere superior.</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9. En el caso de que la omisión se refiera a la declaración del impuesto a la riqueza y complementario, al ciento sesenta por ciento (160%) del impuesto determinado, tomando como base el valor del patrimonio líquido de la última declaración de renta presentada o que determine la Administración Tributaria por el período a que corresponda la declaración no presentada, el que fuere superior.</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color w:val="454545"/>
                <w:sz w:val="20"/>
                <w:szCs w:val="20"/>
              </w:rPr>
            </w:pPr>
            <w:r w:rsidRPr="00045630">
              <w:rPr>
                <w:rFonts w:ascii="Cambria" w:hAnsi="Cambria"/>
                <w:sz w:val="20"/>
                <w:szCs w:val="20"/>
              </w:rPr>
              <w:t>10.  En el caso de que la omisión se refiera a la declaración del monotributo, a una vez y media (1.5) 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11. En el caso de que la omisión se refiera a la declaración del impuesto nacional sobre productos plásticos de un solo uso utilizados para envasar, embalar o empacar bienes, al veinte por ciento (20%) del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sz w:val="20"/>
                <w:szCs w:val="20"/>
              </w:rPr>
            </w:pPr>
            <w:r w:rsidRPr="00045630">
              <w:rPr>
                <w:rFonts w:ascii="Cambria" w:hAnsi="Cambria"/>
                <w:sz w:val="20"/>
                <w:szCs w:val="20"/>
              </w:rPr>
              <w:lastRenderedPageBreak/>
              <w:t>13. En el caso de que la omisión se refiera a la declaración de los impuestos previstos en el </w:t>
            </w:r>
            <w:hyperlink r:id="rId99" w:anchor="TITULO%20X-3" w:history="1">
              <w:r w:rsidRPr="00045630">
                <w:rPr>
                  <w:rStyle w:val="Hipervnculo"/>
                  <w:rFonts w:ascii="Cambria" w:hAnsi="Cambria"/>
                  <w:color w:val="00A9E0"/>
                  <w:spacing w:val="2"/>
                  <w:sz w:val="20"/>
                  <w:szCs w:val="20"/>
                </w:rPr>
                <w:t>Título X</w:t>
              </w:r>
            </w:hyperlink>
            <w:r w:rsidRPr="00045630">
              <w:rPr>
                <w:rFonts w:ascii="Cambria" w:hAnsi="Cambria"/>
                <w:sz w:val="20"/>
                <w:szCs w:val="20"/>
              </w:rPr>
              <w:t> del Libro III del Estatuto Tributario, al veinte por ciento (20%) del valor del impuesto que ha debido pagarse o al diez por ciento (10%) de los ingresos brutos que figuren en la última declaración de dicho impuesto.</w:t>
            </w:r>
          </w:p>
          <w:p w:rsidR="00045630" w:rsidRDefault="00045630" w:rsidP="00045630">
            <w:pPr>
              <w:jc w:val="both"/>
              <w:rPr>
                <w:color w:val="454545"/>
              </w:rPr>
            </w:pPr>
          </w:p>
          <w:p w:rsidR="00045630" w:rsidRDefault="00045630" w:rsidP="00045630">
            <w:pPr>
              <w:jc w:val="both"/>
              <w:rPr>
                <w:rFonts w:ascii="Cambria" w:hAnsi="Cambria"/>
                <w:sz w:val="20"/>
                <w:szCs w:val="20"/>
              </w:rPr>
            </w:pPr>
            <w:r w:rsidRPr="00045630">
              <w:rPr>
                <w:rStyle w:val="baj"/>
                <w:rFonts w:ascii="Cambria" w:hAnsi="Cambria"/>
                <w:b/>
                <w:bCs/>
                <w:color w:val="343536"/>
                <w:spacing w:val="2"/>
                <w:sz w:val="20"/>
                <w:szCs w:val="20"/>
              </w:rPr>
              <w:t>PARÁGRAFO 1o.</w:t>
            </w:r>
            <w:r w:rsidRPr="00045630">
              <w:rPr>
                <w:rFonts w:ascii="Cambria" w:hAnsi="Cambria"/>
                <w:sz w:val="20"/>
                <w:szCs w:val="20"/>
              </w:rPr>
              <w:t> Cuando la Administración Tributaria disponga solamente de una de las bases para practicar las sanciones a que se refieren los numerales de este artículo, podrá aplicarla sobre dicha base sin necesidad de calcular las otras.</w:t>
            </w:r>
          </w:p>
          <w:p w:rsidR="00045630" w:rsidRPr="00045630" w:rsidRDefault="00045630" w:rsidP="00045630">
            <w:pPr>
              <w:jc w:val="both"/>
              <w:rPr>
                <w:rFonts w:ascii="Cambria" w:hAnsi="Cambria"/>
                <w:sz w:val="20"/>
                <w:szCs w:val="20"/>
              </w:rPr>
            </w:pPr>
          </w:p>
          <w:p w:rsidR="00045630" w:rsidRPr="00045630" w:rsidRDefault="00045630" w:rsidP="00045630">
            <w:pPr>
              <w:jc w:val="both"/>
              <w:rPr>
                <w:rFonts w:ascii="Cambria" w:hAnsi="Cambria"/>
                <w:sz w:val="20"/>
                <w:szCs w:val="20"/>
              </w:rPr>
            </w:pPr>
            <w:r w:rsidRPr="00045630">
              <w:rPr>
                <w:rStyle w:val="baj"/>
                <w:rFonts w:ascii="Cambria" w:hAnsi="Cambria"/>
                <w:b/>
                <w:bCs/>
                <w:color w:val="343536"/>
                <w:spacing w:val="2"/>
                <w:sz w:val="20"/>
                <w:szCs w:val="20"/>
              </w:rPr>
              <w:t>PARÁGRAFO 2o.</w:t>
            </w:r>
            <w:r w:rsidRPr="00045630">
              <w:rPr>
                <w:rFonts w:ascii="Cambria" w:hAnsi="Cambria"/>
                <w:sz w:val="20"/>
                <w:szCs w:val="20"/>
              </w:rPr>
              <w:t> Si dentro del término para interponer el recurso contra la resolución que impone la sanción por no declarar, el contribuyente, responsable o agente retenedor presenta la declaración, la sanción por no declarar se reducirá al cincuenta por ciento (50%) del valor de la sanción inicialmente impuesta por la Administración Tributaria, en cuyo caso, el contribuyente, responsable o agente retenedor deberá liquidarla y pagarla al presentar la declaración tributaria. En todo caso, esta sanción no podrá ser inferior al valor de la sanción por extemporaneidad que se debe liquidar con posterioridad al emplazamiento previo por no declarar.</w:t>
            </w:r>
          </w:p>
          <w:p w:rsidR="00045630" w:rsidRPr="00045630" w:rsidRDefault="00045630" w:rsidP="00045630">
            <w:pPr>
              <w:jc w:val="both"/>
              <w:rPr>
                <w:rFonts w:ascii="Cambria" w:hAnsi="Cambria"/>
                <w:b/>
                <w:bCs/>
                <w:color w:val="000000" w:themeColor="text1"/>
                <w:sz w:val="20"/>
                <w:szCs w:val="20"/>
              </w:rPr>
            </w:pPr>
          </w:p>
        </w:tc>
        <w:tc>
          <w:tcPr>
            <w:tcW w:w="4865" w:type="dxa"/>
          </w:tcPr>
          <w:p w:rsidR="00045630" w:rsidRDefault="00045630" w:rsidP="00045630">
            <w:pPr>
              <w:jc w:val="both"/>
              <w:rPr>
                <w:rFonts w:ascii="Cambria" w:hAnsi="Cambria"/>
                <w:color w:val="454545"/>
                <w:sz w:val="20"/>
                <w:szCs w:val="20"/>
              </w:rPr>
            </w:pPr>
            <w:r w:rsidRPr="00045630">
              <w:rPr>
                <w:rFonts w:ascii="Cambria" w:hAnsi="Cambria"/>
                <w:b/>
                <w:bCs/>
                <w:color w:val="000000" w:themeColor="text1"/>
                <w:sz w:val="20"/>
                <w:szCs w:val="20"/>
              </w:rPr>
              <w:lastRenderedPageBreak/>
              <w:t>Articulo 643. Sanción por no declarar</w:t>
            </w:r>
            <w:r w:rsidR="00D4647F">
              <w:rPr>
                <w:rFonts w:ascii="Cambria" w:hAnsi="Cambria"/>
                <w:b/>
                <w:bCs/>
                <w:color w:val="000000" w:themeColor="text1"/>
                <w:sz w:val="20"/>
                <w:szCs w:val="20"/>
              </w:rPr>
              <w:t xml:space="preserve"> </w:t>
            </w:r>
            <w:r w:rsidR="00D4647F" w:rsidRPr="002213C4">
              <w:rPr>
                <w:rStyle w:val="iaj"/>
                <w:rFonts w:ascii="Cambria" w:hAnsi="Cambria"/>
                <w:b/>
                <w:bCs/>
                <w:color w:val="FF0000"/>
                <w:spacing w:val="2"/>
                <w:sz w:val="20"/>
                <w:szCs w:val="20"/>
              </w:rPr>
              <w:t>(modificado</w:t>
            </w:r>
            <w:r w:rsidR="00D4647F" w:rsidRPr="002213C4">
              <w:rPr>
                <w:rStyle w:val="iaj"/>
                <w:color w:val="FF0000"/>
                <w:spacing w:val="2"/>
              </w:rPr>
              <w:t xml:space="preserve"> </w:t>
            </w:r>
            <w:r w:rsidR="00D4647F" w:rsidRPr="002213C4">
              <w:rPr>
                <w:rStyle w:val="iaj"/>
                <w:rFonts w:ascii="Cambria" w:hAnsi="Cambria"/>
                <w:b/>
                <w:bCs/>
                <w:color w:val="FF0000"/>
                <w:spacing w:val="2"/>
                <w:sz w:val="20"/>
                <w:szCs w:val="20"/>
              </w:rPr>
              <w:t>con artículo 73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sidR="00D4647F" w:rsidRPr="002213C4">
              <w:rPr>
                <w:rStyle w:val="iaj"/>
                <w:rFonts w:ascii="Cambria" w:hAnsi="Cambria"/>
                <w:b/>
                <w:bCs/>
                <w:color w:val="FF0000"/>
                <w:spacing w:val="2"/>
                <w:sz w:val="20"/>
                <w:szCs w:val="20"/>
              </w:rPr>
              <w:t>)</w:t>
            </w:r>
            <w:r w:rsidR="00D4647F" w:rsidRPr="00860E9D">
              <w:rPr>
                <w:rStyle w:val="baj"/>
                <w:rFonts w:ascii="Cambria" w:hAnsi="Cambria"/>
                <w:b/>
                <w:bCs/>
                <w:color w:val="000000" w:themeColor="text1"/>
                <w:spacing w:val="2"/>
                <w:sz w:val="20"/>
                <w:szCs w:val="20"/>
                <w:highlight w:val="yellow"/>
              </w:rPr>
              <w:t>. </w:t>
            </w:r>
            <w:r w:rsidRPr="00045630">
              <w:rPr>
                <w:rFonts w:ascii="Cambria" w:hAnsi="Cambria"/>
                <w:color w:val="00A9E0"/>
                <w:sz w:val="20"/>
                <w:szCs w:val="20"/>
                <w:u w:val="single"/>
              </w:rPr>
              <w:t>.</w:t>
            </w:r>
            <w:r w:rsidRPr="00045630">
              <w:rPr>
                <w:rFonts w:ascii="Cambria" w:hAnsi="Cambria"/>
                <w:sz w:val="20"/>
                <w:szCs w:val="20"/>
              </w:rPr>
              <w:t>  Los contribuyentes, agentes retenedores o responsables obligados a declarar, que omitan la presentación de las declaraciones tributarias, serán objeto de una sanción equivalente a:</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1. En el caso de que la omisión se refiera a la declaración del impuesto sobre la renta</w:t>
            </w:r>
            <w:r w:rsidR="00D4647F">
              <w:rPr>
                <w:rFonts w:ascii="Cambria" w:hAnsi="Cambria"/>
                <w:sz w:val="20"/>
                <w:szCs w:val="20"/>
              </w:rPr>
              <w:t xml:space="preserve"> y complementarios </w:t>
            </w:r>
            <w:r w:rsidR="00D4647F" w:rsidRPr="00D4647F">
              <w:rPr>
                <w:rFonts w:ascii="Cambria" w:hAnsi="Cambria"/>
                <w:sz w:val="20"/>
                <w:szCs w:val="20"/>
                <w:highlight w:val="yellow"/>
              </w:rPr>
              <w:t>o cualquier régimen</w:t>
            </w:r>
            <w:r w:rsidRPr="00D4647F">
              <w:rPr>
                <w:rFonts w:ascii="Cambria" w:hAnsi="Cambria"/>
                <w:sz w:val="20"/>
                <w:szCs w:val="20"/>
                <w:highlight w:val="yellow"/>
              </w:rPr>
              <w:t xml:space="preserve"> </w:t>
            </w:r>
            <w:r w:rsidR="00D4647F" w:rsidRPr="00D4647F">
              <w:rPr>
                <w:rFonts w:ascii="Cambria" w:hAnsi="Cambria"/>
                <w:sz w:val="20"/>
                <w:szCs w:val="20"/>
                <w:highlight w:val="yellow"/>
              </w:rPr>
              <w:t>sustitutivo de este impuesto</w:t>
            </w:r>
            <w:r w:rsidR="00D4647F">
              <w:rPr>
                <w:rFonts w:ascii="Cambria" w:hAnsi="Cambria"/>
                <w:sz w:val="20"/>
                <w:szCs w:val="20"/>
              </w:rPr>
              <w:t xml:space="preserve">, </w:t>
            </w:r>
            <w:r w:rsidRPr="00045630">
              <w:rPr>
                <w:rFonts w:ascii="Cambria" w:hAnsi="Cambria"/>
                <w:sz w:val="20"/>
                <w:szCs w:val="20"/>
              </w:rPr>
              <w:t xml:space="preserve"> al veinte por ciento (20%) del valor de las consignaciones bancarias o ingresos brutos de quien persiste en su incumplimiento, que determine la Administración Tributaria por el período al cual corresponda la declaración no presentada, o al veinte por ciento (20%) de los ingresos brutos que figuren en la última declaración de renta presentada</w:t>
            </w:r>
            <w:r w:rsidR="00D4647F">
              <w:rPr>
                <w:rFonts w:ascii="Cambria" w:hAnsi="Cambria"/>
                <w:sz w:val="20"/>
                <w:szCs w:val="20"/>
              </w:rPr>
              <w:t xml:space="preserve"> </w:t>
            </w:r>
            <w:r w:rsidR="00D4647F" w:rsidRPr="00D4647F">
              <w:rPr>
                <w:rFonts w:ascii="Cambria" w:hAnsi="Cambria"/>
                <w:sz w:val="20"/>
                <w:szCs w:val="20"/>
                <w:highlight w:val="yellow"/>
              </w:rPr>
              <w:t xml:space="preserve">o del régimen </w:t>
            </w:r>
            <w:proofErr w:type="spellStart"/>
            <w:r w:rsidR="00D4647F" w:rsidRPr="00D4647F">
              <w:rPr>
                <w:rFonts w:ascii="Cambria" w:hAnsi="Cambria"/>
                <w:sz w:val="20"/>
                <w:szCs w:val="20"/>
                <w:highlight w:val="yellow"/>
              </w:rPr>
              <w:t>sustituvivo</w:t>
            </w:r>
            <w:proofErr w:type="spellEnd"/>
            <w:r w:rsidRPr="00045630">
              <w:rPr>
                <w:rFonts w:ascii="Cambria" w:hAnsi="Cambria"/>
                <w:sz w:val="20"/>
                <w:szCs w:val="20"/>
              </w:rPr>
              <w:t>, el que fuere superior.</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2. En el caso de que la omisión se refiera a la declaración del impuesto sobre las ventas, a la declaración del impuesto nacional al consumo, al diez por ciento (10%) de las consignaciones bancarias o ingresos brutos de quien persiste en su incumplimiento, que determine la Administración Tributaria por el período al cual corresponda la declaración no presentada, o al diez por ciento (10%) de los ingresos brutos que figuren en la última declaración de ventas o declaración del impuesto nacional al consumo, según el caso, el que fuere superior.</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 xml:space="preserve">3. En el caso de que la omisión se refiera a la declaración de retenciones, al diez por ciento (10%) de los cheques girados u otros medios de pago canalizados a través del sistema financiero, o costos y gastos de </w:t>
            </w:r>
            <w:r w:rsidRPr="00045630">
              <w:rPr>
                <w:rFonts w:ascii="Cambria" w:hAnsi="Cambria"/>
                <w:sz w:val="20"/>
                <w:szCs w:val="20"/>
              </w:rPr>
              <w:lastRenderedPageBreak/>
              <w:t>quien persiste en su incumplimiento, que determine la Administración Tributaria por el período al cual corresponda la declaración no presentada, o al ciento por ciento (100%) de las retenciones que figuren en la última declaración de retenciones presentada, el que fuere superior.</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4. En el caso de que la omisión se refiera a la declaración del impuesto de timbre, a cinco (5) veces 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sz w:val="20"/>
                <w:szCs w:val="20"/>
              </w:rPr>
            </w:pPr>
            <w:r w:rsidRPr="00045630">
              <w:rPr>
                <w:rFonts w:ascii="Cambria" w:hAnsi="Cambria"/>
                <w:sz w:val="20"/>
                <w:szCs w:val="20"/>
              </w:rPr>
              <w:t>5. En el caso de que la omisión se refiera a la declaración del impuesto nacional a la gasolina y al ACPM, o al impuesto nacional al carbono, al veinte por ciento (20%) del valor del impuesto que ha debido pagarse.</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6. En el caso de que la omisión se refiera a la declaración del gravamen a los movimientos financieros, al cinco por ciento (5%) del valor del impuesto que ha debido pagarse.</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7. En el caso de que la omisión se refiera a la declaración de ingresos y patrimonio, al uno por ciento (1%) del patrimonio líquido de la entidad obligada a su presentación.</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8. En el caso de que la omisión se refiera a la declaración anual de activos en el exterior, al cinco por ciento (5%) del patrimonio bruto que figure en la última declaración del impuesto sobre la renta y complementarios presentada, o al cinco por ciento (5%) del patrimonio bruto que determine la Administración Tributaria por el período a que corresponda la declaración no presentada, el que fuere superior.</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sz w:val="20"/>
                <w:szCs w:val="20"/>
              </w:rPr>
            </w:pPr>
            <w:r w:rsidRPr="00045630">
              <w:rPr>
                <w:rFonts w:ascii="Cambria" w:hAnsi="Cambria"/>
                <w:sz w:val="20"/>
                <w:szCs w:val="20"/>
              </w:rPr>
              <w:t>9. En el caso de que la omisión se refiera a la declaración del impuesto a la riqueza y complementario, al ciento sesenta por ciento (160%) del impuesto determinado, tomando como base el valor del patrimonio líquido de la última declaración de renta presentada o que determine la Administración Tributaria por el período a que corresponda la declaración no presentada, el que fuere superior.</w:t>
            </w:r>
          </w:p>
          <w:p w:rsidR="00045630" w:rsidRPr="00045630" w:rsidRDefault="00045630" w:rsidP="00045630">
            <w:pPr>
              <w:jc w:val="both"/>
              <w:rPr>
                <w:rFonts w:ascii="Cambria" w:hAnsi="Cambria"/>
                <w:sz w:val="20"/>
                <w:szCs w:val="20"/>
              </w:rPr>
            </w:pPr>
          </w:p>
          <w:p w:rsidR="00045630" w:rsidRDefault="00045630" w:rsidP="00045630">
            <w:pPr>
              <w:jc w:val="both"/>
              <w:rPr>
                <w:rFonts w:ascii="Cambria" w:hAnsi="Cambria"/>
                <w:color w:val="454545"/>
                <w:sz w:val="20"/>
                <w:szCs w:val="20"/>
              </w:rPr>
            </w:pPr>
            <w:r w:rsidRPr="00045630">
              <w:rPr>
                <w:rFonts w:ascii="Cambria" w:hAnsi="Cambria"/>
                <w:sz w:val="20"/>
                <w:szCs w:val="20"/>
              </w:rPr>
              <w:t>10.  En el caso de que la omisión se refiera a la declaración del monotributo, a una vez y media (1.5) 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color w:val="454545"/>
                <w:sz w:val="20"/>
                <w:szCs w:val="20"/>
              </w:rPr>
            </w:pPr>
            <w:r w:rsidRPr="00045630">
              <w:rPr>
                <w:rFonts w:ascii="Cambria" w:hAnsi="Cambria"/>
                <w:sz w:val="20"/>
                <w:szCs w:val="20"/>
              </w:rPr>
              <w:t xml:space="preserve">11. En el caso de que la omisión se refiera a la declaración del impuesto nacional sobre productos plásticos de un solo uso utilizados para envasar, </w:t>
            </w:r>
            <w:r w:rsidRPr="00045630">
              <w:rPr>
                <w:rFonts w:ascii="Cambria" w:hAnsi="Cambria"/>
                <w:sz w:val="20"/>
                <w:szCs w:val="20"/>
              </w:rPr>
              <w:lastRenderedPageBreak/>
              <w:t>embalar o empacar bienes, al veinte por ciento (20%) del valor del impuesto que ha debido pagarse.</w:t>
            </w:r>
          </w:p>
          <w:p w:rsidR="00045630" w:rsidRPr="00045630" w:rsidRDefault="00045630" w:rsidP="00045630">
            <w:pPr>
              <w:jc w:val="both"/>
              <w:rPr>
                <w:rFonts w:ascii="Cambria" w:hAnsi="Cambria"/>
                <w:color w:val="454545"/>
                <w:sz w:val="20"/>
                <w:szCs w:val="20"/>
              </w:rPr>
            </w:pPr>
            <w:r w:rsidRPr="00045630">
              <w:rPr>
                <w:rFonts w:ascii="Cambria" w:hAnsi="Cambria"/>
                <w:color w:val="454545"/>
                <w:sz w:val="20"/>
                <w:szCs w:val="20"/>
              </w:rPr>
              <w:t xml:space="preserve"> </w:t>
            </w:r>
          </w:p>
          <w:p w:rsidR="00045630" w:rsidRDefault="00045630" w:rsidP="00045630">
            <w:pPr>
              <w:jc w:val="both"/>
              <w:rPr>
                <w:rFonts w:ascii="Cambria" w:hAnsi="Cambria"/>
                <w:sz w:val="20"/>
                <w:szCs w:val="20"/>
              </w:rPr>
            </w:pPr>
            <w:r w:rsidRPr="00045630">
              <w:rPr>
                <w:rFonts w:ascii="Cambria" w:hAnsi="Cambria"/>
                <w:sz w:val="20"/>
                <w:szCs w:val="20"/>
              </w:rPr>
              <w:t>13. En el caso de que la omisión se refiera a la declaración de los impuestos previstos en el </w:t>
            </w:r>
            <w:hyperlink r:id="rId100" w:anchor="TITULO%20X-3" w:history="1">
              <w:r w:rsidRPr="00045630">
                <w:rPr>
                  <w:rStyle w:val="Hipervnculo"/>
                  <w:rFonts w:ascii="Cambria" w:hAnsi="Cambria"/>
                  <w:color w:val="00A9E0"/>
                  <w:spacing w:val="2"/>
                  <w:sz w:val="20"/>
                  <w:szCs w:val="20"/>
                </w:rPr>
                <w:t>Título X</w:t>
              </w:r>
            </w:hyperlink>
            <w:r w:rsidRPr="00045630">
              <w:rPr>
                <w:rFonts w:ascii="Cambria" w:hAnsi="Cambria"/>
                <w:sz w:val="20"/>
                <w:szCs w:val="20"/>
              </w:rPr>
              <w:t> del Libro III del Estatuto Tributario, al veinte por ciento (20%) del valor del impuesto que ha debido pagarse o al diez por ciento (10%) de los ingresos brutos que figuren en la última declaración de dicho impuesto.</w:t>
            </w:r>
          </w:p>
          <w:p w:rsidR="00045630" w:rsidRDefault="00045630" w:rsidP="00045630">
            <w:pPr>
              <w:jc w:val="both"/>
              <w:rPr>
                <w:color w:val="454545"/>
              </w:rPr>
            </w:pPr>
          </w:p>
          <w:p w:rsidR="00045630" w:rsidRDefault="00045630" w:rsidP="00045630">
            <w:pPr>
              <w:jc w:val="both"/>
              <w:rPr>
                <w:rFonts w:ascii="Cambria" w:hAnsi="Cambria"/>
                <w:sz w:val="20"/>
                <w:szCs w:val="20"/>
              </w:rPr>
            </w:pPr>
            <w:r w:rsidRPr="00045630">
              <w:rPr>
                <w:rStyle w:val="baj"/>
                <w:rFonts w:ascii="Cambria" w:hAnsi="Cambria"/>
                <w:b/>
                <w:bCs/>
                <w:color w:val="343536"/>
                <w:spacing w:val="2"/>
                <w:sz w:val="20"/>
                <w:szCs w:val="20"/>
              </w:rPr>
              <w:t>PARÁGRAFO 1o.</w:t>
            </w:r>
            <w:r w:rsidRPr="00045630">
              <w:rPr>
                <w:rFonts w:ascii="Cambria" w:hAnsi="Cambria"/>
                <w:sz w:val="20"/>
                <w:szCs w:val="20"/>
              </w:rPr>
              <w:t> Cuando la Administración Tributaria disponga solamente de una de las bases para practicar las sanciones a que se refieren los numerales de este artículo, podrá aplicarla sobre dicha base sin necesidad de calcular las otras.</w:t>
            </w:r>
          </w:p>
          <w:p w:rsidR="00045630" w:rsidRPr="00045630" w:rsidRDefault="00045630" w:rsidP="00045630">
            <w:pPr>
              <w:jc w:val="both"/>
              <w:rPr>
                <w:rFonts w:ascii="Cambria" w:hAnsi="Cambria"/>
                <w:sz w:val="20"/>
                <w:szCs w:val="20"/>
              </w:rPr>
            </w:pPr>
          </w:p>
          <w:p w:rsidR="00045630" w:rsidRPr="00045630" w:rsidRDefault="00045630" w:rsidP="00045630">
            <w:pPr>
              <w:jc w:val="both"/>
              <w:rPr>
                <w:rFonts w:ascii="Cambria" w:hAnsi="Cambria"/>
                <w:sz w:val="20"/>
                <w:szCs w:val="20"/>
              </w:rPr>
            </w:pPr>
            <w:r w:rsidRPr="00045630">
              <w:rPr>
                <w:rStyle w:val="baj"/>
                <w:rFonts w:ascii="Cambria" w:hAnsi="Cambria"/>
                <w:b/>
                <w:bCs/>
                <w:color w:val="343536"/>
                <w:spacing w:val="2"/>
                <w:sz w:val="20"/>
                <w:szCs w:val="20"/>
              </w:rPr>
              <w:t>PARÁGRAFO 2o.</w:t>
            </w:r>
            <w:r w:rsidRPr="00045630">
              <w:rPr>
                <w:rFonts w:ascii="Cambria" w:hAnsi="Cambria"/>
                <w:sz w:val="20"/>
                <w:szCs w:val="20"/>
              </w:rPr>
              <w:t> Si dentro del término para interponer el recurso contra la resolución que impone la sanción por no declarar, el contribuyente, responsable o agente retenedor presenta la declaración, la sanción por no declarar se reducirá al cincuenta por ciento (50%) del valor de la sanción inicialmente impuesta por la Administración Tributaria, en cuyo caso, el contribuyente, responsable o agente retenedor deberá liquidarla y pagarla al presentar la declaración tributaria. En todo caso, esta sanción no podrá ser inferior al valor de la sanción por extemporaneidad que se debe liquidar con posterioridad al emplazamiento previo por no declarar.</w:t>
            </w:r>
          </w:p>
          <w:p w:rsidR="00045630" w:rsidRPr="00045630" w:rsidRDefault="00045630" w:rsidP="00045630">
            <w:pPr>
              <w:jc w:val="both"/>
              <w:rPr>
                <w:rFonts w:ascii="Cambria" w:hAnsi="Cambria"/>
                <w:b/>
                <w:bCs/>
                <w:color w:val="000000" w:themeColor="text1"/>
                <w:sz w:val="20"/>
                <w:szCs w:val="20"/>
              </w:rPr>
            </w:pPr>
          </w:p>
        </w:tc>
      </w:tr>
      <w:tr w:rsidR="003962EA" w:rsidTr="0059378C">
        <w:tc>
          <w:tcPr>
            <w:tcW w:w="4958" w:type="dxa"/>
          </w:tcPr>
          <w:p w:rsidR="003962EA" w:rsidRDefault="003962EA" w:rsidP="003962EA">
            <w:pPr>
              <w:jc w:val="both"/>
              <w:rPr>
                <w:rFonts w:ascii="Cambria" w:hAnsi="Cambria"/>
                <w:color w:val="454545"/>
                <w:sz w:val="20"/>
                <w:szCs w:val="20"/>
              </w:rPr>
            </w:pPr>
            <w:bookmarkStart w:id="39" w:name="652"/>
            <w:r w:rsidRPr="003962EA">
              <w:rPr>
                <w:rFonts w:ascii="Cambria" w:hAnsi="Cambria"/>
                <w:b/>
                <w:bCs/>
                <w:color w:val="000000" w:themeColor="text1"/>
                <w:sz w:val="20"/>
                <w:szCs w:val="20"/>
              </w:rPr>
              <w:lastRenderedPageBreak/>
              <w:t>Articulo 652. Sanción por expedir facturas sin requisitos.</w:t>
            </w:r>
            <w:bookmarkEnd w:id="39"/>
            <w:r w:rsidRPr="003962EA">
              <w:rPr>
                <w:rFonts w:ascii="Cambria" w:hAnsi="Cambria"/>
                <w:color w:val="000000" w:themeColor="text1"/>
                <w:sz w:val="20"/>
                <w:szCs w:val="20"/>
              </w:rPr>
              <w:t> </w:t>
            </w:r>
            <w:r w:rsidRPr="003962EA">
              <w:rPr>
                <w:rFonts w:ascii="Cambria" w:hAnsi="Cambria"/>
                <w:sz w:val="20"/>
                <w:szCs w:val="20"/>
              </w:rPr>
              <w:t xml:space="preserve"> Quienes estando obligados </w:t>
            </w:r>
            <w:r w:rsidRPr="003962EA">
              <w:rPr>
                <w:rFonts w:ascii="Cambria" w:hAnsi="Cambria"/>
                <w:sz w:val="20"/>
                <w:szCs w:val="20"/>
                <w:highlight w:val="yellow"/>
              </w:rPr>
              <w:t>a expedir facturas</w:t>
            </w:r>
            <w:r w:rsidRPr="003962EA">
              <w:rPr>
                <w:rFonts w:ascii="Cambria" w:hAnsi="Cambria"/>
                <w:sz w:val="20"/>
                <w:szCs w:val="20"/>
              </w:rPr>
              <w:t xml:space="preserve">, lo hagan sin el cumplimiento de los requisitos establecidos en </w:t>
            </w:r>
            <w:r w:rsidRPr="003962EA">
              <w:rPr>
                <w:rFonts w:ascii="Cambria" w:hAnsi="Cambria"/>
                <w:sz w:val="20"/>
                <w:szCs w:val="20"/>
                <w:highlight w:val="yellow"/>
              </w:rPr>
              <w:t>los literales a), h), e i) del</w:t>
            </w:r>
            <w:r w:rsidRPr="003962EA">
              <w:rPr>
                <w:rFonts w:ascii="Cambria" w:hAnsi="Cambria"/>
                <w:sz w:val="20"/>
                <w:szCs w:val="20"/>
              </w:rPr>
              <w:t xml:space="preserve"> artículo </w:t>
            </w:r>
            <w:r w:rsidRPr="003962EA">
              <w:rPr>
                <w:rFonts w:ascii="Cambria" w:hAnsi="Cambria"/>
                <w:spacing w:val="2"/>
                <w:sz w:val="20"/>
                <w:szCs w:val="20"/>
              </w:rPr>
              <w:t>617</w:t>
            </w:r>
            <w:r w:rsidRPr="003962EA">
              <w:rPr>
                <w:rFonts w:ascii="Cambria" w:hAnsi="Cambria"/>
                <w:sz w:val="20"/>
                <w:szCs w:val="20"/>
              </w:rPr>
              <w:t> del Estatuto Tributario, incurrirán en una sanción del uno por ciento (1%) del valor de las operaciones facturadas sin el cumplimiento de los requisitos legales, sin exceder de 950 UVT. Cuando hay reincidencia se dará aplicación a lo previsto en el artículo </w:t>
            </w:r>
            <w:r w:rsidRPr="003962EA">
              <w:rPr>
                <w:rFonts w:ascii="Cambria" w:hAnsi="Cambria"/>
                <w:spacing w:val="2"/>
                <w:sz w:val="20"/>
                <w:szCs w:val="20"/>
              </w:rPr>
              <w:t>657</w:t>
            </w:r>
            <w:r w:rsidRPr="003962EA">
              <w:rPr>
                <w:rFonts w:ascii="Cambria" w:hAnsi="Cambria"/>
                <w:sz w:val="20"/>
                <w:szCs w:val="20"/>
              </w:rPr>
              <w:t> del Estatuto Tributario.</w:t>
            </w:r>
          </w:p>
          <w:p w:rsidR="003962EA" w:rsidRDefault="003962EA" w:rsidP="003962EA">
            <w:pPr>
              <w:jc w:val="both"/>
              <w:rPr>
                <w:rFonts w:ascii="Cambria" w:hAnsi="Cambria"/>
                <w:color w:val="454545"/>
                <w:sz w:val="20"/>
                <w:szCs w:val="20"/>
              </w:rPr>
            </w:pPr>
            <w:r w:rsidRPr="003962EA">
              <w:rPr>
                <w:rFonts w:ascii="Cambria" w:hAnsi="Cambria"/>
                <w:color w:val="454545"/>
                <w:sz w:val="20"/>
                <w:szCs w:val="20"/>
              </w:rPr>
              <w:t xml:space="preserve"> </w:t>
            </w:r>
          </w:p>
          <w:p w:rsidR="003962EA" w:rsidRDefault="003962EA" w:rsidP="003962EA">
            <w:pPr>
              <w:jc w:val="both"/>
              <w:rPr>
                <w:rFonts w:ascii="Cambria" w:hAnsi="Cambria"/>
                <w:color w:val="454545"/>
                <w:sz w:val="20"/>
                <w:szCs w:val="20"/>
              </w:rPr>
            </w:pPr>
          </w:p>
          <w:p w:rsidR="003962EA" w:rsidRPr="003962EA" w:rsidRDefault="003962EA" w:rsidP="003962EA">
            <w:pPr>
              <w:jc w:val="both"/>
              <w:rPr>
                <w:rFonts w:ascii="Cambria" w:hAnsi="Cambria"/>
                <w:color w:val="454545"/>
                <w:sz w:val="20"/>
                <w:szCs w:val="20"/>
              </w:rPr>
            </w:pPr>
          </w:p>
          <w:p w:rsidR="003962EA" w:rsidRDefault="003962EA" w:rsidP="003962EA">
            <w:pPr>
              <w:jc w:val="both"/>
              <w:rPr>
                <w:rFonts w:ascii="Cambria" w:hAnsi="Cambria"/>
                <w:sz w:val="20"/>
                <w:szCs w:val="20"/>
              </w:rPr>
            </w:pPr>
            <w:r w:rsidRPr="003962EA">
              <w:rPr>
                <w:rFonts w:ascii="Cambria" w:hAnsi="Cambria"/>
                <w:sz w:val="20"/>
                <w:szCs w:val="20"/>
              </w:rPr>
              <w:t>Cuando la sanción a que se refiere el presente artículo, se imponga mediante resolución independiente, previamente se dará traslado de cargos a la persona o entidad a sancionar, quien tendrá un término de diez (10) días para responder.</w:t>
            </w:r>
          </w:p>
          <w:p w:rsidR="003962EA" w:rsidRPr="003962EA" w:rsidRDefault="003962EA" w:rsidP="003962EA">
            <w:pPr>
              <w:jc w:val="both"/>
              <w:rPr>
                <w:rFonts w:ascii="Cambria" w:hAnsi="Cambria"/>
                <w:sz w:val="20"/>
                <w:szCs w:val="20"/>
              </w:rPr>
            </w:pPr>
          </w:p>
          <w:p w:rsidR="003962EA" w:rsidRPr="003962EA" w:rsidRDefault="003962EA" w:rsidP="003962EA">
            <w:pPr>
              <w:jc w:val="both"/>
              <w:rPr>
                <w:rFonts w:ascii="Cambria" w:hAnsi="Cambria"/>
                <w:sz w:val="20"/>
                <w:szCs w:val="20"/>
              </w:rPr>
            </w:pPr>
            <w:r w:rsidRPr="003962EA">
              <w:rPr>
                <w:rStyle w:val="baj"/>
                <w:rFonts w:ascii="Cambria" w:hAnsi="Cambria"/>
                <w:b/>
                <w:bCs/>
                <w:color w:val="343536"/>
                <w:spacing w:val="2"/>
                <w:sz w:val="20"/>
                <w:szCs w:val="20"/>
                <w:highlight w:val="yellow"/>
              </w:rPr>
              <w:t>PARAGRAFO.</w:t>
            </w:r>
            <w:r w:rsidRPr="003962EA">
              <w:rPr>
                <w:rFonts w:ascii="Cambria" w:hAnsi="Cambria"/>
                <w:sz w:val="20"/>
                <w:szCs w:val="20"/>
                <w:highlight w:val="yellow"/>
              </w:rPr>
              <w:t>  Esta sanción también procederá cuando en la factura no aparezca el NIT con el lleno de los requisitos legales.</w:t>
            </w:r>
          </w:p>
          <w:p w:rsidR="003962EA" w:rsidRPr="003962EA" w:rsidRDefault="003962EA" w:rsidP="003962EA">
            <w:pPr>
              <w:jc w:val="both"/>
              <w:rPr>
                <w:rFonts w:ascii="Cambria" w:hAnsi="Cambria"/>
                <w:b/>
                <w:bCs/>
                <w:color w:val="000000" w:themeColor="text1"/>
                <w:sz w:val="20"/>
                <w:szCs w:val="20"/>
              </w:rPr>
            </w:pPr>
          </w:p>
        </w:tc>
        <w:tc>
          <w:tcPr>
            <w:tcW w:w="4865" w:type="dxa"/>
          </w:tcPr>
          <w:p w:rsidR="003962EA" w:rsidRDefault="003962EA" w:rsidP="003962EA">
            <w:pPr>
              <w:jc w:val="both"/>
              <w:rPr>
                <w:rFonts w:ascii="Cambria" w:hAnsi="Cambria"/>
                <w:color w:val="454545"/>
                <w:sz w:val="20"/>
                <w:szCs w:val="20"/>
              </w:rPr>
            </w:pPr>
            <w:r w:rsidRPr="003962EA">
              <w:rPr>
                <w:rFonts w:ascii="Cambria" w:hAnsi="Cambria"/>
                <w:b/>
                <w:bCs/>
                <w:color w:val="000000" w:themeColor="text1"/>
                <w:sz w:val="20"/>
                <w:szCs w:val="20"/>
              </w:rPr>
              <w:lastRenderedPageBreak/>
              <w:t>Articulo 652. Sanción por expedir facturas sin requisitos</w:t>
            </w:r>
            <w:r>
              <w:rPr>
                <w:rFonts w:ascii="Cambria" w:hAnsi="Cambria"/>
                <w:b/>
                <w:bCs/>
                <w:color w:val="000000" w:themeColor="text1"/>
                <w:sz w:val="20"/>
                <w:szCs w:val="20"/>
              </w:rPr>
              <w:t xml:space="preserve"> </w:t>
            </w:r>
            <w:r w:rsidRPr="002213C4">
              <w:rPr>
                <w:rStyle w:val="iaj"/>
                <w:rFonts w:ascii="Cambria" w:hAnsi="Cambria"/>
                <w:b/>
                <w:bCs/>
                <w:color w:val="FF0000"/>
                <w:spacing w:val="2"/>
                <w:sz w:val="20"/>
                <w:szCs w:val="20"/>
              </w:rPr>
              <w:t>(modificado</w:t>
            </w:r>
            <w:r w:rsidRPr="002213C4">
              <w:rPr>
                <w:rStyle w:val="iaj"/>
                <w:color w:val="FF0000"/>
                <w:spacing w:val="2"/>
              </w:rPr>
              <w:t xml:space="preserve"> </w:t>
            </w:r>
            <w:r w:rsidRPr="002213C4">
              <w:rPr>
                <w:rStyle w:val="iaj"/>
                <w:rFonts w:ascii="Cambria" w:hAnsi="Cambria"/>
                <w:b/>
                <w:bCs/>
                <w:color w:val="FF0000"/>
                <w:spacing w:val="2"/>
                <w:sz w:val="20"/>
                <w:szCs w:val="20"/>
              </w:rPr>
              <w:t>con artículo 58 proyecto de Ley</w:t>
            </w:r>
            <w:r w:rsidR="00852E78">
              <w:rPr>
                <w:rStyle w:val="iaj"/>
                <w:rFonts w:ascii="Cambria" w:hAnsi="Cambria"/>
                <w:b/>
                <w:bCs/>
                <w:color w:val="FF0000"/>
                <w:spacing w:val="2"/>
                <w:sz w:val="20"/>
                <w:szCs w:val="20"/>
              </w:rPr>
              <w:t xml:space="preserve"> septiembre</w:t>
            </w:r>
            <w:r w:rsidR="00852E78" w:rsidRPr="00281C2B">
              <w:rPr>
                <w:rStyle w:val="iaj"/>
                <w:rFonts w:ascii="Cambria" w:hAnsi="Cambria"/>
                <w:b/>
                <w:bCs/>
                <w:color w:val="FF0000"/>
                <w:spacing w:val="2"/>
                <w:sz w:val="20"/>
                <w:szCs w:val="20"/>
              </w:rPr>
              <w:t xml:space="preserve"> de</w:t>
            </w:r>
            <w:r w:rsidR="00852E78">
              <w:rPr>
                <w:rStyle w:val="iaj"/>
                <w:rFonts w:ascii="Cambria" w:hAnsi="Cambria"/>
                <w:b/>
                <w:bCs/>
                <w:color w:val="FF0000"/>
                <w:spacing w:val="2"/>
                <w:sz w:val="20"/>
                <w:szCs w:val="20"/>
              </w:rPr>
              <w:t xml:space="preserve"> 2025</w:t>
            </w:r>
            <w:r w:rsidRPr="002213C4">
              <w:rPr>
                <w:rStyle w:val="iaj"/>
                <w:rFonts w:ascii="Cambria" w:hAnsi="Cambria"/>
                <w:b/>
                <w:bCs/>
                <w:color w:val="FF0000"/>
                <w:spacing w:val="2"/>
                <w:sz w:val="20"/>
                <w:szCs w:val="20"/>
              </w:rPr>
              <w:t>)</w:t>
            </w:r>
            <w:r w:rsidRPr="002213C4">
              <w:rPr>
                <w:rFonts w:ascii="Cambria" w:hAnsi="Cambria"/>
                <w:b/>
                <w:bCs/>
                <w:color w:val="000000" w:themeColor="text1"/>
                <w:sz w:val="20"/>
                <w:szCs w:val="20"/>
              </w:rPr>
              <w:t>.</w:t>
            </w:r>
            <w:r w:rsidRPr="003962EA">
              <w:rPr>
                <w:rFonts w:ascii="Cambria" w:hAnsi="Cambria"/>
                <w:color w:val="000000" w:themeColor="text1"/>
                <w:sz w:val="20"/>
                <w:szCs w:val="20"/>
              </w:rPr>
              <w:t> </w:t>
            </w:r>
            <w:r w:rsidRPr="003962EA">
              <w:rPr>
                <w:rFonts w:ascii="Cambria" w:hAnsi="Cambria"/>
                <w:sz w:val="20"/>
                <w:szCs w:val="20"/>
              </w:rPr>
              <w:t xml:space="preserve"> Quienes estando obligados </w:t>
            </w:r>
            <w:r w:rsidRPr="003962EA">
              <w:rPr>
                <w:rFonts w:ascii="Cambria" w:hAnsi="Cambria"/>
                <w:sz w:val="20"/>
                <w:szCs w:val="20"/>
                <w:highlight w:val="yellow"/>
              </w:rPr>
              <w:t>a factu</w:t>
            </w:r>
            <w:r>
              <w:rPr>
                <w:rFonts w:ascii="Cambria" w:hAnsi="Cambria"/>
                <w:sz w:val="20"/>
                <w:szCs w:val="20"/>
                <w:highlight w:val="yellow"/>
              </w:rPr>
              <w:t>r</w:t>
            </w:r>
            <w:r w:rsidRPr="003962EA">
              <w:rPr>
                <w:rFonts w:ascii="Cambria" w:hAnsi="Cambria"/>
                <w:sz w:val="20"/>
                <w:szCs w:val="20"/>
                <w:highlight w:val="yellow"/>
              </w:rPr>
              <w:t>ar</w:t>
            </w:r>
            <w:r w:rsidRPr="003962EA">
              <w:rPr>
                <w:rFonts w:ascii="Cambria" w:hAnsi="Cambria"/>
                <w:sz w:val="20"/>
                <w:szCs w:val="20"/>
              </w:rPr>
              <w:t xml:space="preserve">, lo hagan sin el cumplimiento de los requisitos establecidos en </w:t>
            </w:r>
            <w:r>
              <w:rPr>
                <w:rFonts w:ascii="Cambria" w:hAnsi="Cambria"/>
                <w:sz w:val="20"/>
                <w:szCs w:val="20"/>
              </w:rPr>
              <w:t xml:space="preserve">el </w:t>
            </w:r>
            <w:r w:rsidRPr="003962EA">
              <w:rPr>
                <w:rFonts w:ascii="Cambria" w:hAnsi="Cambria"/>
                <w:sz w:val="20"/>
                <w:szCs w:val="20"/>
              </w:rPr>
              <w:t>artículo </w:t>
            </w:r>
            <w:r w:rsidRPr="003962EA">
              <w:rPr>
                <w:rFonts w:ascii="Cambria" w:hAnsi="Cambria"/>
                <w:spacing w:val="2"/>
                <w:sz w:val="20"/>
                <w:szCs w:val="20"/>
              </w:rPr>
              <w:t>617</w:t>
            </w:r>
            <w:r w:rsidRPr="003962EA">
              <w:rPr>
                <w:rFonts w:ascii="Cambria" w:hAnsi="Cambria"/>
                <w:sz w:val="20"/>
                <w:szCs w:val="20"/>
              </w:rPr>
              <w:t> del Estatuto Tributario</w:t>
            </w:r>
            <w:r>
              <w:rPr>
                <w:rFonts w:ascii="Cambria" w:hAnsi="Cambria"/>
                <w:sz w:val="20"/>
                <w:szCs w:val="20"/>
              </w:rPr>
              <w:t xml:space="preserve"> </w:t>
            </w:r>
            <w:r w:rsidRPr="003962EA">
              <w:rPr>
                <w:sz w:val="20"/>
                <w:szCs w:val="20"/>
                <w:highlight w:val="yellow"/>
              </w:rPr>
              <w:t xml:space="preserve">y </w:t>
            </w:r>
            <w:r w:rsidRPr="003962EA">
              <w:rPr>
                <w:rFonts w:ascii="Cambria" w:hAnsi="Cambria"/>
                <w:sz w:val="20"/>
                <w:szCs w:val="20"/>
                <w:highlight w:val="yellow"/>
              </w:rPr>
              <w:t>los que se establezcan en la reglamentación con base en el artículo 616-1 del mismo estatuto</w:t>
            </w:r>
            <w:r w:rsidRPr="003962EA">
              <w:rPr>
                <w:rFonts w:ascii="Cambria" w:hAnsi="Cambria"/>
                <w:sz w:val="20"/>
                <w:szCs w:val="20"/>
              </w:rPr>
              <w:t>, incurrirán en una sanción del uno por ciento (1%) del valor de las operaciones facturadas sin el cumplimiento de los requisitos legales, sin exceder de 950 UVT. Cuando hay reincidencia se dará aplicación a lo previsto en el artículo </w:t>
            </w:r>
            <w:r w:rsidRPr="003962EA">
              <w:rPr>
                <w:rFonts w:ascii="Cambria" w:hAnsi="Cambria"/>
                <w:spacing w:val="2"/>
                <w:sz w:val="20"/>
                <w:szCs w:val="20"/>
              </w:rPr>
              <w:t>657</w:t>
            </w:r>
            <w:r w:rsidRPr="003962EA">
              <w:rPr>
                <w:rFonts w:ascii="Cambria" w:hAnsi="Cambria"/>
                <w:sz w:val="20"/>
                <w:szCs w:val="20"/>
              </w:rPr>
              <w:t> del Estatuto Tributario.</w:t>
            </w:r>
          </w:p>
          <w:p w:rsidR="003962EA" w:rsidRPr="003962EA" w:rsidRDefault="003962EA" w:rsidP="003962EA">
            <w:pPr>
              <w:jc w:val="both"/>
              <w:rPr>
                <w:rFonts w:ascii="Cambria" w:hAnsi="Cambria"/>
                <w:color w:val="454545"/>
                <w:sz w:val="20"/>
                <w:szCs w:val="20"/>
              </w:rPr>
            </w:pPr>
            <w:r w:rsidRPr="003962EA">
              <w:rPr>
                <w:rFonts w:ascii="Cambria" w:hAnsi="Cambria"/>
                <w:color w:val="454545"/>
                <w:sz w:val="20"/>
                <w:szCs w:val="20"/>
              </w:rPr>
              <w:t xml:space="preserve"> </w:t>
            </w:r>
          </w:p>
          <w:p w:rsidR="003962EA" w:rsidRDefault="003962EA" w:rsidP="003962EA">
            <w:pPr>
              <w:jc w:val="both"/>
              <w:rPr>
                <w:rFonts w:ascii="Cambria" w:hAnsi="Cambria"/>
                <w:sz w:val="20"/>
                <w:szCs w:val="20"/>
              </w:rPr>
            </w:pPr>
            <w:r w:rsidRPr="003962EA">
              <w:rPr>
                <w:rFonts w:ascii="Cambria" w:hAnsi="Cambria"/>
                <w:sz w:val="20"/>
                <w:szCs w:val="20"/>
              </w:rPr>
              <w:t>Cuando la sanción a que se refiere el presente artículo, se imponga mediante resolución independiente, previamente se dará traslado de cargos a la persona o entidad a sancionar, quien tendrá un término de diez (10) días para responder.</w:t>
            </w:r>
          </w:p>
          <w:p w:rsidR="003962EA" w:rsidRPr="003962EA" w:rsidRDefault="003962EA" w:rsidP="003962EA">
            <w:pPr>
              <w:jc w:val="both"/>
              <w:rPr>
                <w:rFonts w:ascii="Cambria" w:hAnsi="Cambria"/>
                <w:sz w:val="20"/>
                <w:szCs w:val="20"/>
              </w:rPr>
            </w:pPr>
          </w:p>
          <w:p w:rsidR="003962EA" w:rsidRPr="003962EA" w:rsidRDefault="003962EA" w:rsidP="003962EA">
            <w:pPr>
              <w:jc w:val="both"/>
              <w:rPr>
                <w:rFonts w:ascii="Cambria" w:hAnsi="Cambria"/>
                <w:b/>
                <w:bCs/>
                <w:color w:val="000000" w:themeColor="text1"/>
                <w:sz w:val="20"/>
                <w:szCs w:val="20"/>
              </w:rPr>
            </w:pPr>
          </w:p>
        </w:tc>
      </w:tr>
      <w:tr w:rsidR="002213C4" w:rsidTr="0059378C">
        <w:tc>
          <w:tcPr>
            <w:tcW w:w="4958" w:type="dxa"/>
          </w:tcPr>
          <w:p w:rsidR="002213C4" w:rsidRPr="002213C4" w:rsidRDefault="002213C4" w:rsidP="002213C4">
            <w:pPr>
              <w:jc w:val="both"/>
              <w:rPr>
                <w:rFonts w:ascii="Cambria" w:hAnsi="Cambria"/>
                <w:b/>
                <w:bCs/>
                <w:color w:val="000000" w:themeColor="text1"/>
                <w:sz w:val="20"/>
                <w:szCs w:val="20"/>
              </w:rPr>
            </w:pPr>
            <w:bookmarkStart w:id="40" w:name="653"/>
            <w:r w:rsidRPr="002213C4">
              <w:rPr>
                <w:rFonts w:ascii="Cambria" w:hAnsi="Cambria"/>
                <w:b/>
                <w:bCs/>
                <w:color w:val="000000" w:themeColor="text1"/>
                <w:sz w:val="20"/>
                <w:szCs w:val="20"/>
                <w:shd w:val="clear" w:color="auto" w:fill="FFFFFF"/>
              </w:rPr>
              <w:t>Articulo 653. Constancia de la no expedición de facturas o expedición sin el lleno de los requisitos</w:t>
            </w:r>
            <w:r w:rsidRPr="002213C4">
              <w:rPr>
                <w:rFonts w:ascii="Cambria" w:hAnsi="Cambria"/>
                <w:sz w:val="20"/>
                <w:szCs w:val="20"/>
                <w:u w:val="single"/>
                <w:shd w:val="clear" w:color="auto" w:fill="FFFFFF"/>
              </w:rPr>
              <w:t>.</w:t>
            </w:r>
            <w:bookmarkEnd w:id="40"/>
            <w:r w:rsidRPr="002213C4">
              <w:rPr>
                <w:rFonts w:ascii="Cambria" w:hAnsi="Cambria"/>
                <w:color w:val="343536"/>
                <w:sz w:val="20"/>
                <w:szCs w:val="20"/>
                <w:shd w:val="clear" w:color="auto" w:fill="FFFFFF"/>
              </w:rPr>
              <w:t xml:space="preserve">  Cuando sobre las transacciones respecto de las cuales se debe expedir factura, no se cumpla con esta obligación o se cumpla sin el lleno de los requisitos establecidos en la ley, </w:t>
            </w:r>
            <w:r w:rsidRPr="0041789D">
              <w:rPr>
                <w:rFonts w:ascii="Cambria" w:hAnsi="Cambria"/>
                <w:color w:val="343536"/>
                <w:sz w:val="20"/>
                <w:szCs w:val="20"/>
                <w:highlight w:val="yellow"/>
                <w:shd w:val="clear" w:color="auto" w:fill="FFFFFF"/>
              </w:rPr>
              <w:t>dos</w:t>
            </w:r>
            <w:r w:rsidRPr="002213C4">
              <w:rPr>
                <w:rFonts w:ascii="Cambria" w:hAnsi="Cambria"/>
                <w:color w:val="343536"/>
                <w:sz w:val="20"/>
                <w:szCs w:val="20"/>
                <w:shd w:val="clear" w:color="auto" w:fill="FFFFFF"/>
              </w:rPr>
              <w:t xml:space="preserve"> funcionarios </w:t>
            </w:r>
            <w:r w:rsidRPr="0041789D">
              <w:rPr>
                <w:rFonts w:ascii="Cambria" w:hAnsi="Cambria"/>
                <w:color w:val="343536"/>
                <w:sz w:val="20"/>
                <w:szCs w:val="20"/>
                <w:highlight w:val="yellow"/>
                <w:shd w:val="clear" w:color="auto" w:fill="FFFFFF"/>
              </w:rPr>
              <w:t>designados</w:t>
            </w:r>
            <w:r w:rsidRPr="002213C4">
              <w:rPr>
                <w:rFonts w:ascii="Cambria" w:hAnsi="Cambria"/>
                <w:color w:val="343536"/>
                <w:sz w:val="20"/>
                <w:szCs w:val="20"/>
                <w:shd w:val="clear" w:color="auto" w:fill="FFFFFF"/>
              </w:rPr>
              <w:t xml:space="preserve"> </w:t>
            </w:r>
            <w:r w:rsidRPr="0041789D">
              <w:rPr>
                <w:rFonts w:ascii="Cambria" w:hAnsi="Cambria"/>
                <w:color w:val="343536"/>
                <w:sz w:val="20"/>
                <w:szCs w:val="20"/>
                <w:highlight w:val="yellow"/>
                <w:shd w:val="clear" w:color="auto" w:fill="FFFFFF"/>
              </w:rPr>
              <w:t>especialmente</w:t>
            </w:r>
            <w:r w:rsidRPr="002213C4">
              <w:rPr>
                <w:rFonts w:ascii="Cambria" w:hAnsi="Cambria"/>
                <w:color w:val="343536"/>
                <w:sz w:val="20"/>
                <w:szCs w:val="20"/>
                <w:shd w:val="clear" w:color="auto" w:fill="FFFFFF"/>
              </w:rPr>
              <w:t xml:space="preserve"> por el Jefe </w:t>
            </w:r>
            <w:r w:rsidRPr="0041789D">
              <w:rPr>
                <w:rFonts w:ascii="Cambria" w:hAnsi="Cambria"/>
                <w:color w:val="343536"/>
                <w:sz w:val="20"/>
                <w:szCs w:val="20"/>
                <w:highlight w:val="yellow"/>
                <w:shd w:val="clear" w:color="auto" w:fill="FFFFFF"/>
              </w:rPr>
              <w:t>de la División de</w:t>
            </w:r>
            <w:r w:rsidRPr="002213C4">
              <w:rPr>
                <w:rFonts w:ascii="Cambria" w:hAnsi="Cambria"/>
                <w:color w:val="343536"/>
                <w:sz w:val="20"/>
                <w:szCs w:val="20"/>
                <w:shd w:val="clear" w:color="auto" w:fill="FFFFFF"/>
              </w:rPr>
              <w:t xml:space="preserve"> Fiscalización </w:t>
            </w:r>
            <w:r w:rsidRPr="00320FAF">
              <w:rPr>
                <w:rFonts w:ascii="Cambria" w:hAnsi="Cambria"/>
                <w:color w:val="343536"/>
                <w:sz w:val="20"/>
                <w:szCs w:val="20"/>
                <w:highlight w:val="yellow"/>
                <w:shd w:val="clear" w:color="auto" w:fill="FFFFFF"/>
              </w:rPr>
              <w:t>para tal efecto</w:t>
            </w:r>
            <w:r w:rsidRPr="002213C4">
              <w:rPr>
                <w:rFonts w:ascii="Cambria" w:hAnsi="Cambria"/>
                <w:color w:val="343536"/>
                <w:sz w:val="20"/>
                <w:szCs w:val="20"/>
                <w:shd w:val="clear" w:color="auto" w:fill="FFFFFF"/>
              </w:rPr>
              <w:t>, que hayan constatado la infracción, darán fe del hecho, mediante un acta en la cual se consigne el mismo y las explicaciones que haya aducido quien realizó la operación sin expedir la factura. En la etapa de discusión posterior no se podrán aducir explicaciones distintas de las consignadas en la respectiva acta.</w:t>
            </w:r>
          </w:p>
        </w:tc>
        <w:tc>
          <w:tcPr>
            <w:tcW w:w="4865" w:type="dxa"/>
          </w:tcPr>
          <w:p w:rsidR="00320FAF" w:rsidRDefault="002213C4" w:rsidP="00320FAF">
            <w:pPr>
              <w:jc w:val="both"/>
              <w:rPr>
                <w:rFonts w:ascii="Cambria" w:hAnsi="Cambria"/>
                <w:sz w:val="20"/>
                <w:szCs w:val="20"/>
              </w:rPr>
            </w:pPr>
            <w:r w:rsidRPr="00320FAF">
              <w:rPr>
                <w:rFonts w:ascii="Cambria" w:hAnsi="Cambria"/>
                <w:b/>
                <w:bCs/>
                <w:color w:val="000000" w:themeColor="text1"/>
                <w:sz w:val="20"/>
                <w:szCs w:val="20"/>
                <w:shd w:val="clear" w:color="auto" w:fill="FFFFFF"/>
              </w:rPr>
              <w:t xml:space="preserve">Articulo 653. Constancia de la no expedición de facturas o expedición sin el lleno de los requisitos </w:t>
            </w:r>
            <w:r w:rsidRPr="00320FAF">
              <w:rPr>
                <w:rStyle w:val="iaj"/>
                <w:rFonts w:ascii="Cambria" w:hAnsi="Cambria"/>
                <w:b/>
                <w:bCs/>
                <w:color w:val="FF0000"/>
                <w:spacing w:val="2"/>
                <w:sz w:val="20"/>
                <w:szCs w:val="20"/>
                <w:highlight w:val="yellow"/>
              </w:rPr>
              <w:t>(</w:t>
            </w:r>
            <w:r w:rsidRPr="00320FAF">
              <w:rPr>
                <w:rStyle w:val="iaj"/>
                <w:rFonts w:ascii="Cambria" w:hAnsi="Cambria"/>
                <w:b/>
                <w:bCs/>
                <w:color w:val="FF0000"/>
                <w:spacing w:val="2"/>
                <w:sz w:val="20"/>
                <w:szCs w:val="20"/>
              </w:rPr>
              <w:t>modificado</w:t>
            </w:r>
            <w:r w:rsidRPr="00320FAF">
              <w:rPr>
                <w:rStyle w:val="iaj"/>
                <w:color w:val="FF0000"/>
                <w:spacing w:val="2"/>
                <w:sz w:val="20"/>
                <w:szCs w:val="20"/>
              </w:rPr>
              <w:t xml:space="preserve"> </w:t>
            </w:r>
            <w:r w:rsidRPr="00320FAF">
              <w:rPr>
                <w:rStyle w:val="iaj"/>
                <w:rFonts w:ascii="Cambria" w:hAnsi="Cambria"/>
                <w:b/>
                <w:bCs/>
                <w:color w:val="FF0000"/>
                <w:spacing w:val="2"/>
                <w:sz w:val="20"/>
                <w:szCs w:val="20"/>
              </w:rPr>
              <w:t xml:space="preserve">con artículo 59 proyecto de </w:t>
            </w:r>
            <w:r w:rsidR="00852E78">
              <w:rPr>
                <w:rStyle w:val="iaj"/>
                <w:rFonts w:ascii="Cambria" w:hAnsi="Cambria"/>
                <w:b/>
                <w:bCs/>
                <w:color w:val="FF0000"/>
                <w:spacing w:val="2"/>
                <w:sz w:val="20"/>
                <w:szCs w:val="20"/>
              </w:rPr>
              <w:t>Ley septiembre de 2025</w:t>
            </w:r>
            <w:r w:rsidRPr="00320FAF">
              <w:rPr>
                <w:rStyle w:val="iaj"/>
                <w:rFonts w:ascii="Cambria" w:hAnsi="Cambria"/>
                <w:b/>
                <w:bCs/>
                <w:color w:val="FF0000"/>
                <w:spacing w:val="2"/>
                <w:sz w:val="20"/>
                <w:szCs w:val="20"/>
              </w:rPr>
              <w:t>)</w:t>
            </w:r>
            <w:r w:rsidRPr="00320FAF">
              <w:rPr>
                <w:rFonts w:ascii="Cambria" w:hAnsi="Cambria"/>
                <w:b/>
                <w:bCs/>
                <w:color w:val="000000" w:themeColor="text1"/>
                <w:sz w:val="20"/>
                <w:szCs w:val="20"/>
              </w:rPr>
              <w:t>.</w:t>
            </w:r>
            <w:r w:rsidRPr="00320FAF">
              <w:rPr>
                <w:rFonts w:ascii="Cambria" w:hAnsi="Cambria"/>
                <w:color w:val="000000" w:themeColor="text1"/>
                <w:sz w:val="20"/>
                <w:szCs w:val="20"/>
              </w:rPr>
              <w:t> </w:t>
            </w:r>
            <w:r w:rsidRPr="00320FAF">
              <w:rPr>
                <w:rFonts w:ascii="Cambria" w:hAnsi="Cambria"/>
                <w:sz w:val="20"/>
                <w:szCs w:val="20"/>
                <w:u w:val="single"/>
                <w:shd w:val="clear" w:color="auto" w:fill="FFFFFF"/>
              </w:rPr>
              <w:t>.</w:t>
            </w:r>
            <w:r w:rsidRPr="00320FAF">
              <w:rPr>
                <w:rFonts w:ascii="Cambria" w:hAnsi="Cambria"/>
                <w:color w:val="343536"/>
                <w:sz w:val="20"/>
                <w:szCs w:val="20"/>
                <w:shd w:val="clear" w:color="auto" w:fill="FFFFFF"/>
              </w:rPr>
              <w:t>  Cuando sobre las transacciones respecto de las cuales se debe expedir factura</w:t>
            </w:r>
            <w:r w:rsidR="0041789D" w:rsidRPr="00320FAF">
              <w:rPr>
                <w:rFonts w:ascii="Cambria" w:hAnsi="Cambria"/>
                <w:color w:val="343536"/>
                <w:sz w:val="20"/>
                <w:szCs w:val="20"/>
                <w:shd w:val="clear" w:color="auto" w:fill="FFFFFF"/>
              </w:rPr>
              <w:t xml:space="preserve"> </w:t>
            </w:r>
            <w:r w:rsidR="0041789D" w:rsidRPr="00320FAF">
              <w:rPr>
                <w:rFonts w:ascii="Cambria" w:hAnsi="Cambria"/>
                <w:color w:val="343536"/>
                <w:sz w:val="20"/>
                <w:szCs w:val="20"/>
                <w:highlight w:val="yellow"/>
                <w:shd w:val="clear" w:color="auto" w:fill="FFFFFF"/>
              </w:rPr>
              <w:t>o documento equivalente</w:t>
            </w:r>
            <w:r w:rsidRPr="00320FAF">
              <w:rPr>
                <w:rFonts w:ascii="Cambria" w:hAnsi="Cambria"/>
                <w:color w:val="343536"/>
                <w:sz w:val="20"/>
                <w:szCs w:val="20"/>
                <w:shd w:val="clear" w:color="auto" w:fill="FFFFFF"/>
              </w:rPr>
              <w:t>, no se cumpla con esta obligación o se cumpla sin el lleno de los requisitos establecidos en la ley</w:t>
            </w:r>
            <w:r w:rsidR="0041789D" w:rsidRPr="00320FAF">
              <w:rPr>
                <w:rFonts w:ascii="Cambria" w:hAnsi="Cambria"/>
                <w:color w:val="343536"/>
                <w:sz w:val="20"/>
                <w:szCs w:val="20"/>
                <w:shd w:val="clear" w:color="auto" w:fill="FFFFFF"/>
              </w:rPr>
              <w:t xml:space="preserve"> </w:t>
            </w:r>
            <w:r w:rsidR="0041789D" w:rsidRPr="00320FAF">
              <w:rPr>
                <w:rFonts w:ascii="Cambria" w:hAnsi="Cambria"/>
                <w:color w:val="343536"/>
                <w:sz w:val="20"/>
                <w:szCs w:val="20"/>
                <w:highlight w:val="yellow"/>
                <w:shd w:val="clear" w:color="auto" w:fill="FFFFFF"/>
              </w:rPr>
              <w:t>o en los reglamentos</w:t>
            </w:r>
            <w:r w:rsidRPr="00320FAF">
              <w:rPr>
                <w:rFonts w:ascii="Cambria" w:hAnsi="Cambria"/>
                <w:color w:val="343536"/>
                <w:sz w:val="20"/>
                <w:szCs w:val="20"/>
                <w:shd w:val="clear" w:color="auto" w:fill="FFFFFF"/>
              </w:rPr>
              <w:t xml:space="preserve">, </w:t>
            </w:r>
            <w:r w:rsidR="0041789D" w:rsidRPr="00320FAF">
              <w:rPr>
                <w:rFonts w:ascii="Cambria" w:hAnsi="Cambria"/>
                <w:color w:val="343536"/>
                <w:sz w:val="20"/>
                <w:szCs w:val="20"/>
                <w:highlight w:val="yellow"/>
                <w:shd w:val="clear" w:color="auto" w:fill="FFFFFF"/>
              </w:rPr>
              <w:t>el o los</w:t>
            </w:r>
            <w:r w:rsidRPr="00320FAF">
              <w:rPr>
                <w:rFonts w:ascii="Cambria" w:hAnsi="Cambria"/>
                <w:color w:val="343536"/>
                <w:sz w:val="20"/>
                <w:szCs w:val="20"/>
                <w:shd w:val="clear" w:color="auto" w:fill="FFFFFF"/>
              </w:rPr>
              <w:t xml:space="preserve"> funcionarios </w:t>
            </w:r>
            <w:r w:rsidR="0041789D" w:rsidRPr="00320FAF">
              <w:rPr>
                <w:rFonts w:ascii="Cambria" w:hAnsi="Cambria"/>
                <w:color w:val="343536"/>
                <w:sz w:val="20"/>
                <w:szCs w:val="20"/>
                <w:highlight w:val="yellow"/>
                <w:shd w:val="clear" w:color="auto" w:fill="FFFFFF"/>
              </w:rPr>
              <w:t>comisionados</w:t>
            </w:r>
            <w:r w:rsidR="0041789D" w:rsidRPr="00320FAF">
              <w:rPr>
                <w:rFonts w:ascii="Cambria" w:hAnsi="Cambria"/>
                <w:color w:val="343536"/>
                <w:sz w:val="20"/>
                <w:szCs w:val="20"/>
                <w:shd w:val="clear" w:color="auto" w:fill="FFFFFF"/>
              </w:rPr>
              <w:t xml:space="preserve"> </w:t>
            </w:r>
            <w:r w:rsidRPr="00320FAF">
              <w:rPr>
                <w:rFonts w:ascii="Cambria" w:hAnsi="Cambria"/>
                <w:color w:val="343536"/>
                <w:sz w:val="20"/>
                <w:szCs w:val="20"/>
                <w:shd w:val="clear" w:color="auto" w:fill="FFFFFF"/>
              </w:rPr>
              <w:t xml:space="preserve">por el Jefe de Fiscalización </w:t>
            </w:r>
            <w:r w:rsidR="00320FAF" w:rsidRPr="00320FAF">
              <w:rPr>
                <w:rFonts w:ascii="Cambria" w:hAnsi="Cambria"/>
                <w:sz w:val="20"/>
                <w:szCs w:val="20"/>
              </w:rPr>
              <w:t xml:space="preserve">que hayan constatado la infracción </w:t>
            </w:r>
            <w:r w:rsidR="00320FAF" w:rsidRPr="00320FAF">
              <w:rPr>
                <w:rFonts w:ascii="Cambria" w:hAnsi="Cambria"/>
                <w:sz w:val="20"/>
                <w:szCs w:val="20"/>
                <w:highlight w:val="yellow"/>
              </w:rPr>
              <w:t>de manera presencial o acudiendo a cualquier medio probatorio virtual,</w:t>
            </w:r>
            <w:r w:rsidR="00320FAF" w:rsidRPr="00320FAF">
              <w:rPr>
                <w:rFonts w:ascii="Cambria" w:hAnsi="Cambria"/>
                <w:sz w:val="20"/>
                <w:szCs w:val="20"/>
              </w:rPr>
              <w:t xml:space="preserve"> darán fe del hecho, mediante un acta en la cual se consigne el mismo y las explicaciones que haya aducido quien realizó la operación sin expedir la factura o documento equivalente. En la etapa de discusión posterior no se podrán aducir explicaciones distintas de las consignadas en la respectiva acta. </w:t>
            </w:r>
          </w:p>
          <w:p w:rsidR="00320FAF" w:rsidRPr="00320FAF" w:rsidRDefault="00320FAF" w:rsidP="00320FAF">
            <w:pPr>
              <w:jc w:val="both"/>
              <w:rPr>
                <w:rFonts w:ascii="Cambria" w:hAnsi="Cambria"/>
                <w:sz w:val="20"/>
                <w:szCs w:val="20"/>
              </w:rPr>
            </w:pPr>
          </w:p>
          <w:p w:rsidR="00320FAF" w:rsidRPr="00320FAF" w:rsidRDefault="00320FAF" w:rsidP="00320FAF">
            <w:pPr>
              <w:jc w:val="both"/>
              <w:rPr>
                <w:rFonts w:ascii="Cambria" w:hAnsi="Cambria"/>
                <w:sz w:val="20"/>
                <w:szCs w:val="20"/>
                <w:highlight w:val="yellow"/>
              </w:rPr>
            </w:pPr>
            <w:r w:rsidRPr="00320FAF">
              <w:rPr>
                <w:rFonts w:ascii="Cambria" w:hAnsi="Cambria"/>
                <w:b/>
                <w:bCs/>
                <w:sz w:val="20"/>
                <w:szCs w:val="20"/>
                <w:highlight w:val="yellow"/>
              </w:rPr>
              <w:t xml:space="preserve">Parágrafo 1. </w:t>
            </w:r>
            <w:r w:rsidRPr="00320FAF">
              <w:rPr>
                <w:rFonts w:ascii="Cambria" w:hAnsi="Cambria"/>
                <w:sz w:val="20"/>
                <w:szCs w:val="20"/>
                <w:highlight w:val="yellow"/>
              </w:rPr>
              <w:t xml:space="preserve">Para los casos en los que se constate la no expedición de la factura de venta o documento equivalente se podrá imponer como medida cautelar un sello en lugar visible con la leyenda “ESTABLECIMIENTO EN INVESTIGACIÓN POR IRREGULARIDADES DE FACTURACIÓN”. La medida deberá mantenerse hasta que culmine la discusión administrativa o cuando el contribuyente reconozca voluntariamente el incumplimiento de la obligación de facturar y subsane en los términos previstos en el artículo 657-2 del Estatuto Tributario. </w:t>
            </w:r>
          </w:p>
          <w:p w:rsidR="00320FAF" w:rsidRPr="00320FAF" w:rsidRDefault="00320FAF" w:rsidP="00320FAF">
            <w:pPr>
              <w:jc w:val="both"/>
              <w:rPr>
                <w:rFonts w:ascii="Cambria" w:hAnsi="Cambria"/>
                <w:sz w:val="20"/>
                <w:szCs w:val="20"/>
                <w:highlight w:val="yellow"/>
              </w:rPr>
            </w:pPr>
          </w:p>
          <w:p w:rsidR="00320FAF" w:rsidRPr="00320FAF" w:rsidRDefault="00320FAF" w:rsidP="00320FAF">
            <w:pPr>
              <w:jc w:val="both"/>
              <w:rPr>
                <w:rFonts w:ascii="Cambria" w:hAnsi="Cambria"/>
                <w:sz w:val="20"/>
                <w:szCs w:val="20"/>
                <w:highlight w:val="yellow"/>
              </w:rPr>
            </w:pPr>
            <w:r w:rsidRPr="00320FAF">
              <w:rPr>
                <w:rFonts w:ascii="Cambria" w:hAnsi="Cambria"/>
                <w:sz w:val="20"/>
                <w:szCs w:val="20"/>
                <w:highlight w:val="yellow"/>
              </w:rPr>
              <w:t xml:space="preserve">La remoción de este sello antes del término previsto en este parágrafo dará lugar a lo previsto en el parágrafo 3 del artículo 657 del Estatuto Tributario. </w:t>
            </w:r>
          </w:p>
          <w:p w:rsidR="00320FAF" w:rsidRPr="00320FAF" w:rsidRDefault="00320FAF" w:rsidP="00320FAF">
            <w:pPr>
              <w:jc w:val="both"/>
              <w:rPr>
                <w:rFonts w:ascii="Cambria" w:hAnsi="Cambria"/>
                <w:b/>
                <w:bCs/>
                <w:sz w:val="20"/>
                <w:szCs w:val="20"/>
                <w:highlight w:val="yellow"/>
              </w:rPr>
            </w:pPr>
          </w:p>
          <w:p w:rsidR="0041789D" w:rsidRDefault="00320FAF" w:rsidP="00320FAF">
            <w:pPr>
              <w:jc w:val="both"/>
              <w:rPr>
                <w:rFonts w:ascii="Cambria" w:hAnsi="Cambria"/>
                <w:sz w:val="20"/>
                <w:szCs w:val="20"/>
              </w:rPr>
            </w:pPr>
            <w:r w:rsidRPr="00320FAF">
              <w:rPr>
                <w:rFonts w:ascii="Cambria" w:hAnsi="Cambria"/>
                <w:b/>
                <w:bCs/>
                <w:sz w:val="20"/>
                <w:szCs w:val="20"/>
                <w:highlight w:val="yellow"/>
              </w:rPr>
              <w:t xml:space="preserve">Parágrafo 2. </w:t>
            </w:r>
            <w:r w:rsidRPr="00320FAF">
              <w:rPr>
                <w:rFonts w:ascii="Cambria" w:hAnsi="Cambria"/>
                <w:sz w:val="20"/>
                <w:szCs w:val="20"/>
                <w:highlight w:val="yellow"/>
              </w:rPr>
              <w:t>La exigencia de requisitos adicionales a los necesarios para la expedición de la factura o documento equivalente que establezca la DIAN por parte de los facturadores o proveedores tecnológicos es una conducta susceptible de ser sancionada en los términos del numeral 1 del artículo 657 del Estatuto Tributario y quienes incurran en esta conducta podrán ser objeto de la medida cautelar prevista en el parágrafo 1 de este artículo.</w:t>
            </w:r>
            <w:r w:rsidRPr="00320FAF">
              <w:rPr>
                <w:rFonts w:ascii="Cambria" w:hAnsi="Cambria"/>
                <w:sz w:val="20"/>
                <w:szCs w:val="20"/>
              </w:rPr>
              <w:t xml:space="preserve"> </w:t>
            </w:r>
          </w:p>
          <w:p w:rsidR="00320FAF" w:rsidRPr="002213C4" w:rsidRDefault="00320FAF" w:rsidP="00320FAF">
            <w:pPr>
              <w:jc w:val="both"/>
              <w:rPr>
                <w:rFonts w:ascii="Cambria" w:hAnsi="Cambria"/>
                <w:b/>
                <w:bCs/>
                <w:color w:val="000000" w:themeColor="text1"/>
              </w:rPr>
            </w:pPr>
          </w:p>
        </w:tc>
      </w:tr>
      <w:tr w:rsidR="00B13C71" w:rsidTr="0059378C">
        <w:tc>
          <w:tcPr>
            <w:tcW w:w="4958" w:type="dxa"/>
          </w:tcPr>
          <w:p w:rsidR="00B13C71" w:rsidRDefault="00B13C71" w:rsidP="00B13C71">
            <w:pPr>
              <w:jc w:val="both"/>
              <w:rPr>
                <w:rFonts w:ascii="Cambria" w:hAnsi="Cambria"/>
                <w:color w:val="454545"/>
                <w:sz w:val="20"/>
                <w:szCs w:val="20"/>
              </w:rPr>
            </w:pPr>
            <w:bookmarkStart w:id="41" w:name="657"/>
            <w:r w:rsidRPr="00B13C71">
              <w:rPr>
                <w:rFonts w:ascii="Cambria" w:hAnsi="Cambria"/>
                <w:b/>
                <w:bCs/>
                <w:color w:val="000000" w:themeColor="text1"/>
                <w:sz w:val="20"/>
                <w:szCs w:val="20"/>
              </w:rPr>
              <w:t>Articulo 657. Sanción de clausura del establecimiento</w:t>
            </w:r>
            <w:r w:rsidRPr="00B13C71">
              <w:rPr>
                <w:rFonts w:ascii="Cambria" w:hAnsi="Cambria"/>
                <w:color w:val="00A9E0"/>
                <w:sz w:val="20"/>
                <w:szCs w:val="20"/>
                <w:u w:val="single"/>
              </w:rPr>
              <w:t>.</w:t>
            </w:r>
            <w:bookmarkEnd w:id="41"/>
            <w:r w:rsidRPr="00B13C71">
              <w:rPr>
                <w:rFonts w:ascii="Cambria" w:hAnsi="Cambria"/>
                <w:sz w:val="20"/>
                <w:szCs w:val="20"/>
              </w:rPr>
              <w:t>  La Administración Tributaria podrá imponer la sanción de clausura o cierre del establecimiento de comercio, oficina, consultorio y, en general, del sitio donde se ejerza la actividad, profesión u oficio, mediante la imposición de sellos oficiales que contendrán la leyenda “CERRADO POR LA DIAN” en los siguientes casos:</w:t>
            </w:r>
          </w:p>
          <w:p w:rsid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color w:val="454545"/>
                <w:sz w:val="20"/>
                <w:szCs w:val="20"/>
              </w:rPr>
            </w:pPr>
          </w:p>
          <w:p w:rsidR="00B13C71" w:rsidRDefault="00B13C71" w:rsidP="00B13C71">
            <w:pPr>
              <w:jc w:val="both"/>
              <w:rPr>
                <w:rFonts w:ascii="Cambria" w:hAnsi="Cambria"/>
                <w:color w:val="454545"/>
                <w:sz w:val="20"/>
                <w:szCs w:val="20"/>
              </w:rPr>
            </w:pPr>
            <w:r w:rsidRPr="00B13C71">
              <w:rPr>
                <w:rFonts w:ascii="Cambria" w:hAnsi="Cambria"/>
                <w:sz w:val="20"/>
                <w:szCs w:val="20"/>
              </w:rPr>
              <w:t xml:space="preserve">1. Por un término de tres (3) días, cuando no se expida factura o documento equivalente estando obligado a ello, o se expida sin los requisitos establecidos en </w:t>
            </w:r>
            <w:r w:rsidRPr="00B13C71">
              <w:rPr>
                <w:rFonts w:ascii="Cambria" w:hAnsi="Cambria"/>
                <w:sz w:val="20"/>
                <w:szCs w:val="20"/>
                <w:highlight w:val="yellow"/>
              </w:rPr>
              <w:t>los literales b), c), d), e), f), o g)</w:t>
            </w:r>
            <w:r w:rsidRPr="00B13C71">
              <w:rPr>
                <w:rFonts w:ascii="Cambria" w:hAnsi="Cambria"/>
                <w:sz w:val="20"/>
                <w:szCs w:val="20"/>
              </w:rPr>
              <w:t xml:space="preserve"> </w:t>
            </w:r>
            <w:r w:rsidRPr="00B13C71">
              <w:rPr>
                <w:rFonts w:ascii="Cambria" w:hAnsi="Cambria"/>
                <w:sz w:val="20"/>
                <w:szCs w:val="20"/>
                <w:highlight w:val="yellow"/>
              </w:rPr>
              <w:t>del</w:t>
            </w:r>
            <w:r w:rsidRPr="00B13C71">
              <w:rPr>
                <w:rFonts w:ascii="Cambria" w:hAnsi="Cambria"/>
                <w:sz w:val="20"/>
                <w:szCs w:val="20"/>
              </w:rPr>
              <w:t xml:space="preserve"> artículo </w:t>
            </w:r>
            <w:r w:rsidRPr="00B13C71">
              <w:rPr>
                <w:rFonts w:ascii="Cambria" w:hAnsi="Cambria"/>
                <w:spacing w:val="2"/>
                <w:sz w:val="20"/>
                <w:szCs w:val="20"/>
              </w:rPr>
              <w:t>617</w:t>
            </w:r>
            <w:r w:rsidRPr="00B13C71">
              <w:rPr>
                <w:rFonts w:ascii="Cambria" w:hAnsi="Cambria"/>
                <w:sz w:val="20"/>
                <w:szCs w:val="20"/>
              </w:rPr>
              <w:t xml:space="preserve"> del Estatuto </w:t>
            </w:r>
            <w:r w:rsidRPr="00B13C71">
              <w:rPr>
                <w:rFonts w:ascii="Cambria" w:hAnsi="Cambria"/>
                <w:sz w:val="20"/>
                <w:szCs w:val="20"/>
                <w:highlight w:val="yellow"/>
              </w:rPr>
              <w:t>Tributario,</w:t>
            </w:r>
            <w:r w:rsidRPr="00B13C71">
              <w:rPr>
                <w:rFonts w:ascii="Cambria" w:hAnsi="Cambria"/>
                <w:sz w:val="20"/>
                <w:szCs w:val="20"/>
              </w:rPr>
              <w:t xml:space="preserve"> o se reincida en la expedición </w:t>
            </w:r>
            <w:r w:rsidRPr="00B13C71">
              <w:rPr>
                <w:rFonts w:ascii="Cambria" w:hAnsi="Cambria"/>
                <w:sz w:val="20"/>
                <w:szCs w:val="20"/>
                <w:highlight w:val="yellow"/>
              </w:rPr>
              <w:t>sin el cumplimiento de los requisitos señalados en los literales a), h), o i) del citado artículo</w:t>
            </w:r>
            <w:r w:rsidRPr="00B13C71">
              <w:rPr>
                <w:rFonts w:ascii="Cambria" w:hAnsi="Cambria"/>
                <w:sz w:val="20"/>
                <w:szCs w:val="20"/>
              </w:rPr>
              <w:t>.</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2. Por un término de tres (3) días, cuando se establezca que el contribuyente emplea sistemas electrónicos de los que se evidencie la supresión de ingresos y/o de ventas, lleva doble contabilidad, doble facturación o que una factura o documento equivalente, expedido por el contribuyente, no se encuentra registrado en la contabilidad ni en las declaraciones tributarias.</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3. Por un término de treinta (30) días, cuando las materias primas, activos o bienes que forman parte del inventario, o las mercancías recibidas en consignación o en depósito, sean aprehendidas por violación al régimen aduanero vigente. En este evento, la sanción se aplicará en el mismo acto administrativo de decomiso y se hará efectiva dentro de los dos (2) días siguientes a la fecha de firmeza de este. La clausura se acompañará de la imposición de sellos oficiales que contengan la leyenda "CERRADO POR EVASIÓN Y CONTRABANDO". Esta sanción no será aplicable al tercero tenedor de buena fe, siempre y cuando ello se pruebe.</w:t>
            </w:r>
          </w:p>
          <w:p w:rsid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color w:val="454545"/>
                <w:sz w:val="20"/>
                <w:szCs w:val="20"/>
              </w:rPr>
            </w:pPr>
          </w:p>
          <w:p w:rsidR="00B13C71" w:rsidRDefault="00B13C71" w:rsidP="00B13C71">
            <w:pPr>
              <w:jc w:val="both"/>
              <w:rPr>
                <w:rFonts w:ascii="Cambria" w:hAnsi="Cambria"/>
                <w:color w:val="454545"/>
                <w:sz w:val="20"/>
                <w:szCs w:val="20"/>
              </w:rPr>
            </w:pPr>
            <w:r w:rsidRPr="00B13C71">
              <w:rPr>
                <w:rFonts w:ascii="Cambria" w:hAnsi="Cambria"/>
                <w:sz w:val="20"/>
                <w:szCs w:val="20"/>
              </w:rPr>
              <w:t>4. Por un término de tres (3) días, cuando el agente retenedor o el responsable del </w:t>
            </w:r>
            <w:r w:rsidRPr="00B13C71">
              <w:rPr>
                <w:rFonts w:ascii="Cambria" w:hAnsi="Cambria"/>
                <w:strike/>
                <w:color w:val="EC1D24"/>
                <w:sz w:val="20"/>
                <w:szCs w:val="20"/>
              </w:rPr>
              <w:t>régimen común*</w:t>
            </w:r>
            <w:r w:rsidRPr="00B13C71">
              <w:rPr>
                <w:rFonts w:ascii="Cambria" w:hAnsi="Cambria"/>
                <w:sz w:val="20"/>
                <w:szCs w:val="20"/>
              </w:rPr>
              <w:t> &lt;régimen de responsabilidad&gt; del impuesto sobre las ventas o del impuesto nacional al consumo, o el responsable del impuesto nacional a la gasolina y al ACPM, o del impuesto nacional al carbono, se encuentre en omisión de la presentación de la declaración o en mora de la cancelación del saldo a pagar, superior a tres (3) meses contados a partir de las fechas de vencimiento para la presentación y pago establecidas por el Gobierno nacional. No habrá lugar a la clausura del establecimiento para aquellos contribuyentes cuya mora se deba a la existencia de saldos a favor pendientes de compensar, siempre que se hubiere presentado la solicitud de compensación en los términos establecidos por la ley; tampoco será aplicable la sanción de clausura, siempre que el contribuyente declare y pague. Los eximentes de responsabilidad previstos en el artículo </w:t>
            </w:r>
            <w:hyperlink r:id="rId101" w:anchor="665" w:history="1">
              <w:r w:rsidRPr="00B13C71">
                <w:rPr>
                  <w:rStyle w:val="Hipervnculo"/>
                  <w:rFonts w:ascii="Cambria" w:hAnsi="Cambria"/>
                  <w:color w:val="00A9E0"/>
                  <w:spacing w:val="2"/>
                  <w:sz w:val="20"/>
                  <w:szCs w:val="20"/>
                </w:rPr>
                <w:t>665</w:t>
              </w:r>
            </w:hyperlink>
            <w:r w:rsidRPr="00B13C71">
              <w:rPr>
                <w:rFonts w:ascii="Cambria" w:hAnsi="Cambria"/>
                <w:sz w:val="20"/>
                <w:szCs w:val="20"/>
              </w:rPr>
              <w:t> de este Estatuto se tendrán en cuenta para la aplicación de esta sanción, siempre que se demuestre tal situación en la respuesta al pliego de cargos.</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lastRenderedPageBreak/>
              <w:t>5. Por un término de tres (3) días, cuando se establezca la no adopción o el incumplimiento de sistemas técnicos de control.</w:t>
            </w:r>
          </w:p>
          <w:p w:rsid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color w:val="454545"/>
                <w:sz w:val="20"/>
                <w:szCs w:val="20"/>
              </w:rPr>
            </w:pP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1o.</w:t>
            </w:r>
            <w:r w:rsidRPr="00B13C71">
              <w:rPr>
                <w:rFonts w:ascii="Cambria" w:hAnsi="Cambria"/>
                <w:sz w:val="20"/>
                <w:szCs w:val="20"/>
              </w:rPr>
              <w:t> Cuando el lugar clausurado fuere adicionalmente casa de habitación, se permitirá el acceso de las personas que lo habitan, pero en él no podrán efectuarse operaciones mercantiles ni el desarrollo de la actividad, profesión u oficio por el tiempo que dure la sanción y, en todo caso, se impondrán los sellos correspondientes.</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color w:val="454545"/>
                <w:sz w:val="20"/>
                <w:szCs w:val="20"/>
              </w:rPr>
            </w:pPr>
            <w:r w:rsidRPr="00B13C71">
              <w:rPr>
                <w:rStyle w:val="baj"/>
                <w:rFonts w:ascii="Cambria" w:hAnsi="Cambria"/>
                <w:b/>
                <w:bCs/>
                <w:color w:val="343536"/>
                <w:spacing w:val="2"/>
                <w:sz w:val="20"/>
                <w:szCs w:val="20"/>
              </w:rPr>
              <w:t>PARÁGRAFO 2o.</w:t>
            </w:r>
            <w:r w:rsidRPr="00B13C71">
              <w:rPr>
                <w:rFonts w:ascii="Cambria" w:hAnsi="Cambria"/>
                <w:sz w:val="20"/>
                <w:szCs w:val="20"/>
              </w:rPr>
              <w:t> La sanción a que se refiere el presente artículo se impondrá mediante resolución, previo traslado de cargos a la persona o entidad infractora, quien tendrá un término de diez (10) días para responder. Salvo lo previsto en el numeral 3 de este artículo, la sanción se hará efectiva dentro de los diez (10) días siguientes al agotamiento en sede administrativa.</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3o.</w:t>
            </w:r>
            <w:r w:rsidRPr="00B13C71">
              <w:rPr>
                <w:rFonts w:ascii="Cambria" w:hAnsi="Cambria"/>
                <w:sz w:val="20"/>
                <w:szCs w:val="20"/>
              </w:rPr>
              <w:t> Sin perjuicio de las sanciones de tipo policivo en que incurra el contribuyente, responsable o agente retenedor cuando rompa los sellos oficiales o por cualquier medio abra o utilice el sitio o sede clausurado durante el término de la clausura, se incrementará el término de clausura al doble del inicialmente impuesto.</w:t>
            </w:r>
          </w:p>
          <w:p w:rsidR="00B13C71" w:rsidRDefault="00B13C71" w:rsidP="00B13C71">
            <w:pPr>
              <w:jc w:val="both"/>
              <w:rPr>
                <w:rFonts w:ascii="Cambria" w:hAnsi="Cambria"/>
                <w:sz w:val="20"/>
                <w:szCs w:val="20"/>
              </w:rPr>
            </w:pPr>
            <w:r w:rsidRPr="00B13C71">
              <w:rPr>
                <w:rFonts w:ascii="Cambria" w:hAnsi="Cambria"/>
                <w:sz w:val="20"/>
                <w:szCs w:val="20"/>
              </w:rPr>
              <w:t>Esta ampliación de la sanción de clausura se impondrá mediante resolución, previo traslado de cargos por el término de diez (10) días para responder.</w:t>
            </w:r>
          </w:p>
          <w:p w:rsidR="00B13C71" w:rsidRDefault="00B13C71" w:rsidP="00B13C71">
            <w:pPr>
              <w:jc w:val="both"/>
              <w:rPr>
                <w:rFonts w:ascii="Cambria" w:hAnsi="Cambria"/>
                <w:sz w:val="20"/>
                <w:szCs w:val="20"/>
              </w:rPr>
            </w:pP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color w:val="454545"/>
                <w:sz w:val="20"/>
                <w:szCs w:val="20"/>
              </w:rPr>
            </w:pPr>
            <w:r w:rsidRPr="00B13C71">
              <w:rPr>
                <w:rStyle w:val="baj"/>
                <w:rFonts w:ascii="Cambria" w:hAnsi="Cambria"/>
                <w:b/>
                <w:bCs/>
                <w:color w:val="343536"/>
                <w:spacing w:val="2"/>
                <w:sz w:val="20"/>
                <w:szCs w:val="20"/>
              </w:rPr>
              <w:t>PARÁGRAFO 4o.</w:t>
            </w:r>
            <w:r w:rsidRPr="00B13C71">
              <w:rPr>
                <w:rFonts w:ascii="Cambria" w:hAnsi="Cambria"/>
                <w:sz w:val="20"/>
                <w:szCs w:val="20"/>
              </w:rPr>
              <w:t> Para dar aplicación a lo dispuesto en el presente artículo, las autoridades de policía deberán prestar su colaboración cuando los funcionarios competentes de la Administración Tributaria así lo requieran.</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5o.</w:t>
            </w:r>
            <w:r w:rsidRPr="00B13C71">
              <w:rPr>
                <w:rFonts w:ascii="Cambria" w:hAnsi="Cambria"/>
                <w:sz w:val="20"/>
                <w:szCs w:val="20"/>
              </w:rPr>
              <w:t> Se entiende por doble facturación la expedición de dos facturas por un mismo hecho económico, aun cuando alguna de estas no cumpla con los requisitos formales del artículo </w:t>
            </w:r>
            <w:hyperlink r:id="rId102" w:anchor="617" w:history="1">
              <w:r w:rsidRPr="00B13C71">
                <w:rPr>
                  <w:rStyle w:val="Hipervnculo"/>
                  <w:rFonts w:ascii="Cambria" w:hAnsi="Cambria"/>
                  <w:color w:val="00A9E0"/>
                  <w:spacing w:val="2"/>
                  <w:sz w:val="20"/>
                  <w:szCs w:val="20"/>
                </w:rPr>
                <w:t>617</w:t>
              </w:r>
            </w:hyperlink>
            <w:r w:rsidRPr="00B13C71">
              <w:rPr>
                <w:rFonts w:ascii="Cambria" w:hAnsi="Cambria"/>
                <w:sz w:val="20"/>
                <w:szCs w:val="20"/>
              </w:rPr>
              <w:t>, y sin que importe su denominación ni el sistema empleado para su emisión.</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Se entiende por sistemas electrónicos de los que se evidencie la supresión de ingresos y/o de ventas la utilización de técnicas simples de captura automatizadas e integradas en los sistemas POS valiéndose de programas informáticos, tales como </w:t>
            </w:r>
            <w:proofErr w:type="spellStart"/>
            <w:r w:rsidRPr="00B13C71">
              <w:rPr>
                <w:rStyle w:val="iaj"/>
                <w:rFonts w:ascii="Cambria" w:hAnsi="Cambria"/>
                <w:i/>
                <w:iCs/>
                <w:color w:val="343536"/>
                <w:spacing w:val="2"/>
                <w:sz w:val="20"/>
                <w:szCs w:val="20"/>
              </w:rPr>
              <w:t>Phantomware</w:t>
            </w:r>
            <w:proofErr w:type="spellEnd"/>
            <w:r w:rsidRPr="00B13C71">
              <w:rPr>
                <w:rStyle w:val="iaj"/>
                <w:rFonts w:ascii="Cambria" w:hAnsi="Cambria"/>
                <w:i/>
                <w:iCs/>
                <w:color w:val="343536"/>
                <w:spacing w:val="2"/>
                <w:sz w:val="20"/>
                <w:szCs w:val="20"/>
              </w:rPr>
              <w:t> </w:t>
            </w:r>
            <w:r w:rsidRPr="00B13C71">
              <w:rPr>
                <w:rFonts w:ascii="Cambria" w:hAnsi="Cambria"/>
                <w:sz w:val="20"/>
                <w:szCs w:val="20"/>
              </w:rPr>
              <w:t>– software instalado directamente en el sistema POS o programas </w:t>
            </w:r>
            <w:proofErr w:type="spellStart"/>
            <w:r w:rsidRPr="00B13C71">
              <w:rPr>
                <w:rStyle w:val="iaj"/>
                <w:rFonts w:ascii="Cambria" w:hAnsi="Cambria"/>
                <w:i/>
                <w:iCs/>
                <w:color w:val="343536"/>
                <w:spacing w:val="2"/>
                <w:sz w:val="20"/>
                <w:szCs w:val="20"/>
              </w:rPr>
              <w:t>Zapper</w:t>
            </w:r>
            <w:proofErr w:type="spellEnd"/>
            <w:r w:rsidRPr="00B13C71">
              <w:rPr>
                <w:rStyle w:val="iaj"/>
                <w:rFonts w:ascii="Cambria" w:hAnsi="Cambria"/>
                <w:i/>
                <w:iCs/>
                <w:color w:val="343536"/>
                <w:spacing w:val="2"/>
                <w:sz w:val="20"/>
                <w:szCs w:val="20"/>
              </w:rPr>
              <w:t> </w:t>
            </w:r>
            <w:r w:rsidRPr="00B13C71">
              <w:rPr>
                <w:rFonts w:ascii="Cambria" w:hAnsi="Cambria"/>
                <w:sz w:val="20"/>
                <w:szCs w:val="20"/>
              </w:rPr>
              <w:t xml:space="preserve">– programas externos grabados en dispositivos USB, a partir de los </w:t>
            </w:r>
            <w:r w:rsidRPr="00B13C71">
              <w:rPr>
                <w:rFonts w:ascii="Cambria" w:hAnsi="Cambria"/>
                <w:sz w:val="20"/>
                <w:szCs w:val="20"/>
              </w:rPr>
              <w:lastRenderedPageBreak/>
              <w:t>cuales se evita que algunas operaciones tales como reembolsos, anulaciones y otras transacciones negativas, aparezcan en el informe o en el historial, se evita que algunas operaciones tales como reembolsos, anulaciones y otras transacciones negativas, se sumen a los totales finales, se reinicializa en cero o en algunos casos, en una cifra específica, los totales finales y otros contadores, genera que ciertos artículos no aparezcan en el registro o en el historial, se borran selectivamente algunas transacciones de venta, o se imprimen informes de venta omitiendo algunas líneas.</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6o.</w:t>
            </w:r>
            <w:r w:rsidRPr="00B13C71">
              <w:rPr>
                <w:rFonts w:ascii="Cambria" w:hAnsi="Cambria"/>
                <w:sz w:val="20"/>
                <w:szCs w:val="20"/>
              </w:rPr>
              <w:t>  En todos los casos, si el contribuyente objeto de esta sanción se acoge y paga la siguiente multa, la Administración Tributaria se abstendrá de decretar la clausura del establecimiento, así:</w:t>
            </w:r>
          </w:p>
          <w:p w:rsidR="00B13C71" w:rsidRDefault="00B13C71" w:rsidP="00B13C71">
            <w:pPr>
              <w:jc w:val="both"/>
              <w:rPr>
                <w:rFonts w:ascii="Cambria" w:hAnsi="Cambria"/>
                <w:sz w:val="20"/>
                <w:szCs w:val="20"/>
              </w:rPr>
            </w:pP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1, una sanción pecuniaria equivalente al cinco por ciento (5%) de los ingresos operacionales obtenidos en el mes anterior a la fecha en que incurrió en el hecho sancionable.</w:t>
            </w:r>
          </w:p>
          <w:p w:rsidR="00B13C71" w:rsidRDefault="00B13C71" w:rsidP="00B13C71">
            <w:pPr>
              <w:jc w:val="both"/>
              <w:rPr>
                <w:rFonts w:ascii="Cambria" w:hAnsi="Cambria"/>
                <w:sz w:val="20"/>
                <w:szCs w:val="20"/>
              </w:rPr>
            </w:pP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2, una sanción pecuniaria equivalente al diez (10%)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los numerales 3 y 4, una sanción pecuniaria equivalente al quince por ciento (15%)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5, una sanción pecuniaria equivalente al diez por ciento (10%)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P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7o.</w:t>
            </w:r>
            <w:r w:rsidRPr="00B13C71">
              <w:rPr>
                <w:rFonts w:ascii="Cambria" w:hAnsi="Cambria"/>
                <w:sz w:val="20"/>
                <w:szCs w:val="20"/>
              </w:rPr>
              <w:t> La Dirección de Impuestos y Aduanas Nacionales informará en su página web las sanciones de clausura del establecimiento que sean anuladas en la Jurisdicción de lo Contencioso Administrativo.</w:t>
            </w:r>
          </w:p>
          <w:p w:rsidR="00B13C71" w:rsidRPr="00B13C71" w:rsidRDefault="00B13C71" w:rsidP="00B13C71">
            <w:pPr>
              <w:jc w:val="both"/>
              <w:rPr>
                <w:rFonts w:ascii="Cambria" w:hAnsi="Cambria"/>
                <w:b/>
                <w:bCs/>
                <w:color w:val="000000" w:themeColor="text1"/>
                <w:sz w:val="20"/>
                <w:szCs w:val="20"/>
              </w:rPr>
            </w:pPr>
          </w:p>
        </w:tc>
        <w:tc>
          <w:tcPr>
            <w:tcW w:w="4865" w:type="dxa"/>
          </w:tcPr>
          <w:p w:rsidR="00B13C71" w:rsidRDefault="00B13C71" w:rsidP="00B13C71">
            <w:pPr>
              <w:jc w:val="both"/>
              <w:rPr>
                <w:rFonts w:ascii="Cambria" w:hAnsi="Cambria"/>
                <w:color w:val="454545"/>
                <w:sz w:val="20"/>
                <w:szCs w:val="20"/>
              </w:rPr>
            </w:pPr>
            <w:r w:rsidRPr="00B13C71">
              <w:rPr>
                <w:rFonts w:ascii="Cambria" w:hAnsi="Cambria"/>
                <w:b/>
                <w:bCs/>
                <w:color w:val="000000" w:themeColor="text1"/>
                <w:sz w:val="20"/>
                <w:szCs w:val="20"/>
              </w:rPr>
              <w:lastRenderedPageBreak/>
              <w:t>Articulo 657. Sanción de clausura del establecimiento</w:t>
            </w:r>
            <w:r>
              <w:rPr>
                <w:rFonts w:ascii="Cambria" w:hAnsi="Cambria"/>
                <w:b/>
                <w:bCs/>
                <w:color w:val="000000" w:themeColor="text1"/>
                <w:sz w:val="20"/>
                <w:szCs w:val="20"/>
              </w:rPr>
              <w:t xml:space="preserve"> </w:t>
            </w:r>
            <w:r w:rsidRPr="00320FAF">
              <w:rPr>
                <w:rStyle w:val="iaj"/>
                <w:rFonts w:ascii="Cambria" w:hAnsi="Cambria"/>
                <w:b/>
                <w:bCs/>
                <w:color w:val="FF0000"/>
                <w:spacing w:val="2"/>
                <w:sz w:val="20"/>
                <w:szCs w:val="20"/>
                <w:highlight w:val="yellow"/>
              </w:rPr>
              <w:t>(</w:t>
            </w:r>
            <w:r w:rsidRPr="00320FAF">
              <w:rPr>
                <w:rStyle w:val="iaj"/>
                <w:rFonts w:ascii="Cambria" w:hAnsi="Cambria"/>
                <w:b/>
                <w:bCs/>
                <w:color w:val="FF0000"/>
                <w:spacing w:val="2"/>
                <w:sz w:val="20"/>
                <w:szCs w:val="20"/>
              </w:rPr>
              <w:t>modificado</w:t>
            </w:r>
            <w:r w:rsidRPr="00320FAF">
              <w:rPr>
                <w:rStyle w:val="iaj"/>
                <w:color w:val="FF0000"/>
                <w:spacing w:val="2"/>
                <w:sz w:val="20"/>
                <w:szCs w:val="20"/>
              </w:rPr>
              <w:t xml:space="preserve"> </w:t>
            </w:r>
            <w:r w:rsidRPr="00320FAF">
              <w:rPr>
                <w:rStyle w:val="iaj"/>
                <w:rFonts w:ascii="Cambria" w:hAnsi="Cambria"/>
                <w:b/>
                <w:bCs/>
                <w:color w:val="FF0000"/>
                <w:spacing w:val="2"/>
                <w:sz w:val="20"/>
                <w:szCs w:val="20"/>
              </w:rPr>
              <w:t xml:space="preserve">con artículo </w:t>
            </w:r>
            <w:r>
              <w:rPr>
                <w:rStyle w:val="iaj"/>
                <w:rFonts w:ascii="Cambria" w:hAnsi="Cambria"/>
                <w:b/>
                <w:bCs/>
                <w:color w:val="FF0000"/>
                <w:spacing w:val="2"/>
                <w:sz w:val="20"/>
                <w:szCs w:val="20"/>
              </w:rPr>
              <w:t>60</w:t>
            </w:r>
            <w:r w:rsidRPr="00320FAF">
              <w:rPr>
                <w:rStyle w:val="iaj"/>
                <w:rFonts w:ascii="Cambria" w:hAnsi="Cambria"/>
                <w:b/>
                <w:bCs/>
                <w:color w:val="FF0000"/>
                <w:spacing w:val="2"/>
                <w:sz w:val="20"/>
                <w:szCs w:val="20"/>
              </w:rPr>
              <w:t xml:space="preserve"> proyecto de </w:t>
            </w:r>
            <w:r w:rsidR="00852E78">
              <w:rPr>
                <w:rStyle w:val="iaj"/>
                <w:rFonts w:ascii="Cambria" w:hAnsi="Cambria"/>
                <w:b/>
                <w:bCs/>
                <w:color w:val="FF0000"/>
                <w:spacing w:val="2"/>
                <w:sz w:val="20"/>
                <w:szCs w:val="20"/>
              </w:rPr>
              <w:t>Ley septiembre de 2025</w:t>
            </w:r>
            <w:r w:rsidRPr="00320FAF">
              <w:rPr>
                <w:rStyle w:val="iaj"/>
                <w:rFonts w:ascii="Cambria" w:hAnsi="Cambria"/>
                <w:b/>
                <w:bCs/>
                <w:color w:val="FF0000"/>
                <w:spacing w:val="2"/>
                <w:sz w:val="20"/>
                <w:szCs w:val="20"/>
              </w:rPr>
              <w:t>)</w:t>
            </w:r>
            <w:r w:rsidRPr="00320FAF">
              <w:rPr>
                <w:rFonts w:ascii="Cambria" w:hAnsi="Cambria"/>
                <w:b/>
                <w:bCs/>
                <w:color w:val="000000" w:themeColor="text1"/>
                <w:sz w:val="20"/>
                <w:szCs w:val="20"/>
              </w:rPr>
              <w:t>.</w:t>
            </w:r>
            <w:r w:rsidRPr="00320FAF">
              <w:rPr>
                <w:rFonts w:ascii="Cambria" w:hAnsi="Cambria"/>
                <w:color w:val="000000" w:themeColor="text1"/>
                <w:sz w:val="20"/>
                <w:szCs w:val="20"/>
              </w:rPr>
              <w:t> </w:t>
            </w:r>
            <w:r w:rsidRPr="00B13C71">
              <w:rPr>
                <w:rFonts w:ascii="Cambria" w:hAnsi="Cambria"/>
                <w:color w:val="00A9E0"/>
                <w:sz w:val="20"/>
                <w:szCs w:val="20"/>
                <w:u w:val="single"/>
              </w:rPr>
              <w:t>.</w:t>
            </w:r>
            <w:r w:rsidRPr="00B13C71">
              <w:rPr>
                <w:rFonts w:ascii="Cambria" w:hAnsi="Cambria"/>
                <w:sz w:val="20"/>
                <w:szCs w:val="20"/>
              </w:rPr>
              <w:t xml:space="preserve">  La Administración Tributaria podrá imponer la sanción de clausura o cierre del establecimiento de comercio, oficina, consultorio y, en general, del sitio donde se ejerza la actividad, profesión u oficio, mediante la imposición de sellos oficiales que contendrán la </w:t>
            </w:r>
            <w:r w:rsidRPr="00B13C71">
              <w:rPr>
                <w:rFonts w:ascii="Cambria" w:hAnsi="Cambria"/>
                <w:sz w:val="20"/>
                <w:szCs w:val="20"/>
              </w:rPr>
              <w:lastRenderedPageBreak/>
              <w:t>leyenda “CERRADO POR LA DIAN” en los siguientes casos:</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sz w:val="20"/>
                <w:szCs w:val="20"/>
              </w:rPr>
            </w:pPr>
            <w:r w:rsidRPr="00B13C71">
              <w:rPr>
                <w:rFonts w:ascii="Cambria" w:hAnsi="Cambria"/>
                <w:sz w:val="20"/>
                <w:szCs w:val="20"/>
              </w:rPr>
              <w:t xml:space="preserve">1. Por un término de tres (3) días, cuando no se expida factura o documento equivalente estando obligado a ello, o se reincida en la expedición </w:t>
            </w:r>
            <w:r w:rsidRPr="00B13C71">
              <w:rPr>
                <w:rFonts w:ascii="Cambria" w:hAnsi="Cambria"/>
                <w:sz w:val="20"/>
                <w:szCs w:val="20"/>
                <w:highlight w:val="yellow"/>
              </w:rPr>
              <w:t>de estos documentos</w:t>
            </w:r>
            <w:r>
              <w:rPr>
                <w:rFonts w:ascii="Cambria" w:hAnsi="Cambria"/>
                <w:sz w:val="20"/>
                <w:szCs w:val="20"/>
              </w:rPr>
              <w:t xml:space="preserve">  </w:t>
            </w:r>
            <w:r w:rsidRPr="00B13C71">
              <w:rPr>
                <w:rFonts w:ascii="Cambria" w:hAnsi="Cambria"/>
                <w:sz w:val="20"/>
                <w:szCs w:val="20"/>
              </w:rPr>
              <w:t xml:space="preserve">sin los requisitos </w:t>
            </w:r>
            <w:r>
              <w:rPr>
                <w:rFonts w:ascii="Cambria" w:hAnsi="Cambria"/>
                <w:sz w:val="20"/>
                <w:szCs w:val="20"/>
              </w:rPr>
              <w:t xml:space="preserve">señalados en el </w:t>
            </w:r>
            <w:r w:rsidRPr="00B13C71">
              <w:rPr>
                <w:rFonts w:ascii="Cambria" w:hAnsi="Cambria"/>
                <w:sz w:val="20"/>
                <w:szCs w:val="20"/>
              </w:rPr>
              <w:t>artículo </w:t>
            </w:r>
            <w:r w:rsidRPr="00B13C71">
              <w:rPr>
                <w:rFonts w:ascii="Cambria" w:hAnsi="Cambria"/>
                <w:spacing w:val="2"/>
                <w:sz w:val="20"/>
                <w:szCs w:val="20"/>
              </w:rPr>
              <w:t>617</w:t>
            </w:r>
            <w:r w:rsidRPr="00B13C71">
              <w:rPr>
                <w:rFonts w:ascii="Cambria" w:hAnsi="Cambria"/>
                <w:sz w:val="20"/>
                <w:szCs w:val="20"/>
              </w:rPr>
              <w:t> de</w:t>
            </w:r>
            <w:r>
              <w:rPr>
                <w:rFonts w:ascii="Cambria" w:hAnsi="Cambria"/>
                <w:sz w:val="20"/>
                <w:szCs w:val="20"/>
              </w:rPr>
              <w:t xml:space="preserve"> este</w:t>
            </w:r>
            <w:r w:rsidRPr="00B13C71">
              <w:rPr>
                <w:rFonts w:ascii="Cambria" w:hAnsi="Cambria"/>
                <w:sz w:val="20"/>
                <w:szCs w:val="20"/>
              </w:rPr>
              <w:t xml:space="preserve"> </w:t>
            </w:r>
            <w:r>
              <w:rPr>
                <w:rFonts w:ascii="Cambria" w:hAnsi="Cambria"/>
                <w:sz w:val="20"/>
                <w:szCs w:val="20"/>
              </w:rPr>
              <w:t>e</w:t>
            </w:r>
            <w:r w:rsidRPr="00B13C71">
              <w:rPr>
                <w:rFonts w:ascii="Cambria" w:hAnsi="Cambria"/>
                <w:sz w:val="20"/>
                <w:szCs w:val="20"/>
              </w:rPr>
              <w:t>statuto</w:t>
            </w:r>
            <w:r>
              <w:rPr>
                <w:rFonts w:ascii="Cambria" w:hAnsi="Cambria"/>
                <w:sz w:val="20"/>
                <w:szCs w:val="20"/>
              </w:rPr>
              <w:t xml:space="preserve"> </w:t>
            </w:r>
            <w:r w:rsidRPr="00B13C71">
              <w:rPr>
                <w:sz w:val="20"/>
                <w:szCs w:val="20"/>
                <w:highlight w:val="yellow"/>
              </w:rPr>
              <w:t>o</w:t>
            </w:r>
            <w:r w:rsidRPr="00B13C71">
              <w:rPr>
                <w:rFonts w:ascii="Cambria" w:hAnsi="Cambria"/>
                <w:sz w:val="20"/>
                <w:szCs w:val="20"/>
                <w:highlight w:val="yellow"/>
              </w:rPr>
              <w:t xml:space="preserve"> los que se establezcan en la reglamentación con base en el artículo 616-1 del mismo estatuto o el parágrafo 2 del artículo 653 de este Estatuto</w:t>
            </w:r>
            <w:r w:rsidRPr="00B13C71">
              <w:rPr>
                <w:rFonts w:ascii="Cambria" w:hAnsi="Cambria"/>
                <w:sz w:val="20"/>
                <w:szCs w:val="20"/>
              </w:rPr>
              <w:t xml:space="preserve"> .</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2. Por un término de tres (3) días, cuando se establezca que el contribuyente emplea sistemas electrónicos de los que se evidencie la supresión de ingresos y/o de ventas, lleva doble contabilidad, doble facturación o que una factura o documento equivalente, expedido por el contribuyente, no se encuentra registrado en la contabilidad ni en las declaraciones tributarias.</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3. Por un término de treinta (30) días, cuando las materias primas, activos o bienes que forman parte del inventario, o las mercancías recibidas en consignación o en depósito, sean aprehendidas por violación al régimen aduanero vigente. En este evento, la sanción se aplicará en el mismo acto administrativo de decomiso y se hará efectiva dentro de los dos (2) días siguientes a la fecha de firmeza de este. La clausura se acompañará de la imposición de sellos oficiales que contengan la leyenda "CERRADO POR EVASIÓN Y CONTRABANDO". Esta sanción no será aplicable al tercero tenedor de buena fe, siempre y cuando ello se pruebe.</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4. Por un término de tres (3) días, cuando el agente retenedor o el responsable del </w:t>
            </w:r>
            <w:r w:rsidRPr="00B13C71">
              <w:rPr>
                <w:rFonts w:ascii="Cambria" w:hAnsi="Cambria"/>
                <w:strike/>
                <w:color w:val="EC1D24"/>
                <w:sz w:val="20"/>
                <w:szCs w:val="20"/>
              </w:rPr>
              <w:t>régimen común*</w:t>
            </w:r>
            <w:r w:rsidRPr="00B13C71">
              <w:rPr>
                <w:rFonts w:ascii="Cambria" w:hAnsi="Cambria"/>
                <w:sz w:val="20"/>
                <w:szCs w:val="20"/>
              </w:rPr>
              <w:t> &lt;régimen de responsabilidad&gt; del impuesto sobre las ventas o del impuesto nacional al consumo, o el responsable del impuesto nacional a la gasolina y al ACPM, o del impuesto nacional al carbono, se encuentre en omisión de la presentación de la declaración o en mora de la cancelación del saldo a pagar, superior a tres (3) meses contados a partir de las fechas de vencimiento para la presentación y pago establecidas por el Gobierno nacional. No habrá lugar a la clausura del establecimiento para aquellos contribuyentes cuya mora se deba a la existencia de saldos a favor pendientes de compensar, siempre que se hubiere presentado la solicitud de compensación en los términos establecidos por la ley; tampoco será aplicable la sanción de clausura, siempre que el contribuyente declare y pague. Los eximentes de responsabilidad previstos en el artículo </w:t>
            </w:r>
            <w:hyperlink r:id="rId103" w:anchor="665" w:history="1">
              <w:r w:rsidRPr="00B13C71">
                <w:rPr>
                  <w:rStyle w:val="Hipervnculo"/>
                  <w:rFonts w:ascii="Cambria" w:hAnsi="Cambria"/>
                  <w:color w:val="00A9E0"/>
                  <w:spacing w:val="2"/>
                  <w:sz w:val="20"/>
                  <w:szCs w:val="20"/>
                </w:rPr>
                <w:t>665</w:t>
              </w:r>
            </w:hyperlink>
            <w:r w:rsidRPr="00B13C71">
              <w:rPr>
                <w:rFonts w:ascii="Cambria" w:hAnsi="Cambria"/>
                <w:sz w:val="20"/>
                <w:szCs w:val="20"/>
              </w:rPr>
              <w:t xml:space="preserve"> de este Estatuto se tendrán en cuenta para la aplicación de esta </w:t>
            </w:r>
            <w:r w:rsidRPr="00B13C71">
              <w:rPr>
                <w:rFonts w:ascii="Cambria" w:hAnsi="Cambria"/>
                <w:sz w:val="20"/>
                <w:szCs w:val="20"/>
              </w:rPr>
              <w:lastRenderedPageBreak/>
              <w:t>sanción, siempre que se demuestre tal situación en la respuesta al pliego de cargos.</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color w:val="454545"/>
                <w:sz w:val="20"/>
                <w:szCs w:val="20"/>
              </w:rPr>
            </w:pPr>
            <w:r w:rsidRPr="00B13C71">
              <w:rPr>
                <w:rFonts w:ascii="Cambria" w:hAnsi="Cambria"/>
                <w:sz w:val="20"/>
                <w:szCs w:val="20"/>
              </w:rPr>
              <w:t>5. Por un término de tres (3) días, cuando se establezca la no adopción o el incumplimiento de sistemas técnicos de control.</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1o.</w:t>
            </w:r>
            <w:r w:rsidRPr="00B13C71">
              <w:rPr>
                <w:rFonts w:ascii="Cambria" w:hAnsi="Cambria"/>
                <w:sz w:val="20"/>
                <w:szCs w:val="20"/>
              </w:rPr>
              <w:t> Cuando el lugar clausurado fuere adicionalmente casa de habitación, se permitirá el acceso de las personas que lo habitan, pero en él no podrán efectuarse operaciones mercantiles ni el desarrollo de la actividad, profesión u oficio por el tiempo que dure la sanción y, en todo caso, se impondrán los sellos correspondientes.</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color w:val="454545"/>
                <w:sz w:val="20"/>
                <w:szCs w:val="20"/>
              </w:rPr>
            </w:pPr>
            <w:r w:rsidRPr="00B13C71">
              <w:rPr>
                <w:rStyle w:val="baj"/>
                <w:rFonts w:ascii="Cambria" w:hAnsi="Cambria"/>
                <w:b/>
                <w:bCs/>
                <w:color w:val="343536"/>
                <w:spacing w:val="2"/>
                <w:sz w:val="20"/>
                <w:szCs w:val="20"/>
              </w:rPr>
              <w:t>PARÁGRAFO 2o.</w:t>
            </w:r>
            <w:r w:rsidRPr="00B13C71">
              <w:rPr>
                <w:rFonts w:ascii="Cambria" w:hAnsi="Cambria"/>
                <w:sz w:val="20"/>
                <w:szCs w:val="20"/>
              </w:rPr>
              <w:t> La sanción a que se refiere el presente artículo se impondrá mediante resolución, previo traslado de cargos a la persona o entidad infractora, quien tendrá un término de diez (10) días para responder. Salvo lo previsto en el numeral 3 de este artículo, la sanción se hará efectiva dentro de los diez (10) días siguientes al agotamiento en sede administrativa.</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P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3o.</w:t>
            </w:r>
            <w:r w:rsidRPr="00B13C71">
              <w:rPr>
                <w:rFonts w:ascii="Cambria" w:hAnsi="Cambria"/>
                <w:sz w:val="20"/>
                <w:szCs w:val="20"/>
              </w:rPr>
              <w:t> Sin perjuicio de las sanciones de tipo policivo en que incurra el contribuyente, responsable o agente retenedor cuando rompa los sellos oficiales o por cualquier medio abra o utilice el sitio o sede clausurado durante el término de la clausura, se incrementará el término de clausura al doble del inicialmente impuesto.</w:t>
            </w:r>
          </w:p>
          <w:p w:rsidR="00B13C71" w:rsidRDefault="00B13C71" w:rsidP="00B13C71">
            <w:pPr>
              <w:jc w:val="both"/>
              <w:rPr>
                <w:rFonts w:ascii="Cambria" w:hAnsi="Cambria"/>
                <w:sz w:val="20"/>
                <w:szCs w:val="20"/>
              </w:rPr>
            </w:pPr>
            <w:r w:rsidRPr="00B13C71">
              <w:rPr>
                <w:rFonts w:ascii="Cambria" w:hAnsi="Cambria"/>
                <w:sz w:val="20"/>
                <w:szCs w:val="20"/>
              </w:rPr>
              <w:t>Esta ampliación de la sanción de clausura se impondrá mediante resolución, previo traslado de cargos por el término de diez (10) días para responder.</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color w:val="454545"/>
                <w:sz w:val="20"/>
                <w:szCs w:val="20"/>
              </w:rPr>
            </w:pPr>
            <w:r w:rsidRPr="00B13C71">
              <w:rPr>
                <w:rStyle w:val="baj"/>
                <w:rFonts w:ascii="Cambria" w:hAnsi="Cambria"/>
                <w:b/>
                <w:bCs/>
                <w:color w:val="343536"/>
                <w:spacing w:val="2"/>
                <w:sz w:val="20"/>
                <w:szCs w:val="20"/>
              </w:rPr>
              <w:t>PARÁGRAFO 4o.</w:t>
            </w:r>
            <w:r w:rsidRPr="00B13C71">
              <w:rPr>
                <w:rFonts w:ascii="Cambria" w:hAnsi="Cambria"/>
                <w:sz w:val="20"/>
                <w:szCs w:val="20"/>
              </w:rPr>
              <w:t> Para dar aplicación a lo dispuesto en el presente artículo, las autoridades de policía deberán prestar su colaboración cuando los funcionarios competentes de la Administración Tributaria así lo requieran.</w:t>
            </w:r>
          </w:p>
          <w:p w:rsidR="00B13C71" w:rsidRPr="00B13C71" w:rsidRDefault="00B13C71" w:rsidP="00B13C71">
            <w:pPr>
              <w:jc w:val="both"/>
              <w:rPr>
                <w:rFonts w:ascii="Cambria" w:hAnsi="Cambria"/>
                <w:color w:val="454545"/>
                <w:sz w:val="20"/>
                <w:szCs w:val="20"/>
              </w:rPr>
            </w:pPr>
            <w:r w:rsidRPr="00B13C71">
              <w:rPr>
                <w:rFonts w:ascii="Cambria" w:hAnsi="Cambria"/>
                <w:color w:val="454545"/>
                <w:sz w:val="20"/>
                <w:szCs w:val="20"/>
              </w:rPr>
              <w:t xml:space="preserve"> </w:t>
            </w: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5o.</w:t>
            </w:r>
            <w:r w:rsidRPr="00B13C71">
              <w:rPr>
                <w:rFonts w:ascii="Cambria" w:hAnsi="Cambria"/>
                <w:sz w:val="20"/>
                <w:szCs w:val="20"/>
              </w:rPr>
              <w:t> Se entiende por doble facturación la expedición de dos facturas por un mismo hecho económico, aun cuando alguna de estas no cumpla con los requisitos formales del artículo </w:t>
            </w:r>
            <w:hyperlink r:id="rId104" w:anchor="617" w:history="1">
              <w:r w:rsidRPr="00B13C71">
                <w:rPr>
                  <w:rStyle w:val="Hipervnculo"/>
                  <w:rFonts w:ascii="Cambria" w:hAnsi="Cambria"/>
                  <w:color w:val="00A9E0"/>
                  <w:spacing w:val="2"/>
                  <w:sz w:val="20"/>
                  <w:szCs w:val="20"/>
                </w:rPr>
                <w:t>617</w:t>
              </w:r>
            </w:hyperlink>
            <w:r w:rsidRPr="00B13C71">
              <w:rPr>
                <w:rFonts w:ascii="Cambria" w:hAnsi="Cambria"/>
                <w:sz w:val="20"/>
                <w:szCs w:val="20"/>
              </w:rPr>
              <w:t>, y sin que importe su denominación ni el sistema empleado para su emisión.</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Se entiende por sistemas electrónicos de los que se evidencie la supresión de ingresos y/o de ventas la utilización de técnicas simples de captura automatizadas e integradas en los sistemas POS valiéndose de programas informáticos, tales como </w:t>
            </w:r>
            <w:proofErr w:type="spellStart"/>
            <w:r w:rsidRPr="00B13C71">
              <w:rPr>
                <w:rStyle w:val="iaj"/>
                <w:rFonts w:ascii="Cambria" w:hAnsi="Cambria"/>
                <w:i/>
                <w:iCs/>
                <w:color w:val="343536"/>
                <w:spacing w:val="2"/>
                <w:sz w:val="20"/>
                <w:szCs w:val="20"/>
              </w:rPr>
              <w:t>Phantomware</w:t>
            </w:r>
            <w:proofErr w:type="spellEnd"/>
            <w:r w:rsidRPr="00B13C71">
              <w:rPr>
                <w:rStyle w:val="iaj"/>
                <w:rFonts w:ascii="Cambria" w:hAnsi="Cambria"/>
                <w:i/>
                <w:iCs/>
                <w:color w:val="343536"/>
                <w:spacing w:val="2"/>
                <w:sz w:val="20"/>
                <w:szCs w:val="20"/>
              </w:rPr>
              <w:t> </w:t>
            </w:r>
            <w:r w:rsidRPr="00B13C71">
              <w:rPr>
                <w:rFonts w:ascii="Cambria" w:hAnsi="Cambria"/>
                <w:sz w:val="20"/>
                <w:szCs w:val="20"/>
              </w:rPr>
              <w:t xml:space="preserve">– software instalado directamente </w:t>
            </w:r>
            <w:r w:rsidRPr="00B13C71">
              <w:rPr>
                <w:rFonts w:ascii="Cambria" w:hAnsi="Cambria"/>
                <w:sz w:val="20"/>
                <w:szCs w:val="20"/>
              </w:rPr>
              <w:lastRenderedPageBreak/>
              <w:t>en el sistema POS o programas </w:t>
            </w:r>
            <w:proofErr w:type="spellStart"/>
            <w:r w:rsidRPr="00B13C71">
              <w:rPr>
                <w:rStyle w:val="iaj"/>
                <w:rFonts w:ascii="Cambria" w:hAnsi="Cambria"/>
                <w:i/>
                <w:iCs/>
                <w:color w:val="343536"/>
                <w:spacing w:val="2"/>
                <w:sz w:val="20"/>
                <w:szCs w:val="20"/>
              </w:rPr>
              <w:t>Zapper</w:t>
            </w:r>
            <w:proofErr w:type="spellEnd"/>
            <w:r w:rsidRPr="00B13C71">
              <w:rPr>
                <w:rStyle w:val="iaj"/>
                <w:rFonts w:ascii="Cambria" w:hAnsi="Cambria"/>
                <w:i/>
                <w:iCs/>
                <w:color w:val="343536"/>
                <w:spacing w:val="2"/>
                <w:sz w:val="20"/>
                <w:szCs w:val="20"/>
              </w:rPr>
              <w:t> </w:t>
            </w:r>
            <w:r w:rsidRPr="00B13C71">
              <w:rPr>
                <w:rFonts w:ascii="Cambria" w:hAnsi="Cambria"/>
                <w:sz w:val="20"/>
                <w:szCs w:val="20"/>
              </w:rPr>
              <w:t>– programas externos grabados en dispositivos USB, a partir de los cuales se evita que algunas operaciones tales como reembolsos, anulaciones y otras transacciones negativas, aparezcan en el informe o en el historial, se evita que algunas operaciones tales como reembolsos, anulaciones y otras transacciones negativas, se sumen a los totales finales, se reinicializa en cero o en algunos casos, en una cifra específica, los totales finales y otros contadores, genera que ciertos artículos no aparezcan en el registro o en el historial, se borran selectivamente algunas transacciones de venta, o se imprimen informes de venta omitiendo algunas líneas.</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6o.</w:t>
            </w:r>
            <w:r w:rsidRPr="00B13C71">
              <w:rPr>
                <w:rFonts w:ascii="Cambria" w:hAnsi="Cambria"/>
                <w:sz w:val="20"/>
                <w:szCs w:val="20"/>
              </w:rPr>
              <w:t>  En todos los casos, si el contribuyente objeto de esta sanción se acoge y paga la siguiente multa, la Administración Tributaria se abstendrá de decretar la clausura del establecimiento, así:</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1, una sanción pecuniaria equivalente al cinco por ciento (5%)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2, una sanción pecuniaria equivalente al diez (10%)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los numerales 3 y 4, una sanción pecuniaria equivalente al quince por ciento (15%)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Default="00B13C71" w:rsidP="00B13C71">
            <w:pPr>
              <w:jc w:val="both"/>
              <w:rPr>
                <w:rFonts w:ascii="Cambria" w:hAnsi="Cambria"/>
                <w:sz w:val="20"/>
                <w:szCs w:val="20"/>
              </w:rPr>
            </w:pPr>
            <w:r w:rsidRPr="00B13C71">
              <w:rPr>
                <w:rFonts w:ascii="Cambria" w:hAnsi="Cambria"/>
                <w:sz w:val="20"/>
                <w:szCs w:val="20"/>
              </w:rPr>
              <w:t>Para efectos de lo dispuesto en el numeral 5, una sanción pecuniaria equivalente al diez por ciento (10%) de los ingresos operacionales obtenidos en el mes anterior a la fecha en que incurrió en el hecho sancionable.</w:t>
            </w:r>
          </w:p>
          <w:p w:rsidR="00B13C71" w:rsidRPr="00B13C71" w:rsidRDefault="00B13C71" w:rsidP="00B13C71">
            <w:pPr>
              <w:jc w:val="both"/>
              <w:rPr>
                <w:rFonts w:ascii="Cambria" w:hAnsi="Cambria"/>
                <w:sz w:val="20"/>
                <w:szCs w:val="20"/>
              </w:rPr>
            </w:pPr>
          </w:p>
          <w:p w:rsidR="00B13C71" w:rsidRPr="00B13C71" w:rsidRDefault="00B13C71" w:rsidP="00B13C71">
            <w:pPr>
              <w:jc w:val="both"/>
              <w:rPr>
                <w:rFonts w:ascii="Cambria" w:hAnsi="Cambria"/>
                <w:sz w:val="20"/>
                <w:szCs w:val="20"/>
              </w:rPr>
            </w:pPr>
            <w:r w:rsidRPr="00B13C71">
              <w:rPr>
                <w:rStyle w:val="baj"/>
                <w:rFonts w:ascii="Cambria" w:hAnsi="Cambria"/>
                <w:b/>
                <w:bCs/>
                <w:color w:val="343536"/>
                <w:spacing w:val="2"/>
                <w:sz w:val="20"/>
                <w:szCs w:val="20"/>
              </w:rPr>
              <w:t>PARÁGRAFO 7o.</w:t>
            </w:r>
            <w:r w:rsidRPr="00B13C71">
              <w:rPr>
                <w:rFonts w:ascii="Cambria" w:hAnsi="Cambria"/>
                <w:sz w:val="20"/>
                <w:szCs w:val="20"/>
              </w:rPr>
              <w:t> La Dirección de Impuestos y Aduanas Nacionales informará en su página web las sanciones de clausura del establecimiento que sean anuladas en la Jurisdicción de lo Contencioso Administrativo.</w:t>
            </w:r>
          </w:p>
          <w:p w:rsidR="00B13C71" w:rsidRPr="00B13C71" w:rsidRDefault="00B13C71" w:rsidP="00B13C71">
            <w:pPr>
              <w:jc w:val="both"/>
              <w:rPr>
                <w:rFonts w:ascii="Cambria" w:hAnsi="Cambria"/>
                <w:b/>
                <w:bCs/>
                <w:color w:val="000000" w:themeColor="text1"/>
                <w:sz w:val="20"/>
                <w:szCs w:val="20"/>
              </w:rPr>
            </w:pPr>
          </w:p>
        </w:tc>
      </w:tr>
      <w:tr w:rsidR="00B13C71" w:rsidTr="0059378C">
        <w:tc>
          <w:tcPr>
            <w:tcW w:w="4958" w:type="dxa"/>
          </w:tcPr>
          <w:p w:rsidR="00B13C71" w:rsidRPr="005F076B" w:rsidRDefault="008E0F85" w:rsidP="00B13C71">
            <w:pPr>
              <w:jc w:val="both"/>
              <w:rPr>
                <w:rFonts w:ascii="Cambria" w:hAnsi="Cambria"/>
                <w:b/>
                <w:bCs/>
                <w:color w:val="000000" w:themeColor="text1"/>
                <w:sz w:val="20"/>
                <w:szCs w:val="20"/>
              </w:rPr>
            </w:pPr>
            <w:r>
              <w:rPr>
                <w:rFonts w:ascii="Cambria" w:hAnsi="Cambria"/>
                <w:b/>
                <w:bCs/>
                <w:color w:val="000000" w:themeColor="text1"/>
                <w:sz w:val="20"/>
                <w:szCs w:val="20"/>
              </w:rPr>
              <w:lastRenderedPageBreak/>
              <w:t>Artículo 657-2 (No existía)</w:t>
            </w:r>
          </w:p>
        </w:tc>
        <w:tc>
          <w:tcPr>
            <w:tcW w:w="4865" w:type="dxa"/>
          </w:tcPr>
          <w:p w:rsidR="00B13C71" w:rsidRDefault="00B13C71" w:rsidP="00B13C71">
            <w:pPr>
              <w:jc w:val="both"/>
              <w:rPr>
                <w:rFonts w:ascii="Cambria" w:hAnsi="Cambria"/>
                <w:sz w:val="20"/>
                <w:szCs w:val="20"/>
                <w:highlight w:val="yellow"/>
              </w:rPr>
            </w:pPr>
            <w:r w:rsidRPr="00B13C71">
              <w:rPr>
                <w:rFonts w:ascii="Cambria" w:hAnsi="Cambria"/>
                <w:b/>
                <w:bCs/>
                <w:color w:val="000000" w:themeColor="text1"/>
                <w:sz w:val="20"/>
                <w:szCs w:val="20"/>
                <w:highlight w:val="yellow"/>
              </w:rPr>
              <w:t>Artículo 657-2. Reconocimiento voluntario del incumplimiento de la obligación de facturar</w:t>
            </w:r>
            <w:r>
              <w:rPr>
                <w:rFonts w:ascii="Cambria" w:hAnsi="Cambria"/>
                <w:b/>
                <w:bCs/>
                <w:color w:val="000000" w:themeColor="text1"/>
                <w:sz w:val="20"/>
                <w:szCs w:val="20"/>
                <w:highlight w:val="yellow"/>
              </w:rPr>
              <w:t xml:space="preserve"> </w:t>
            </w:r>
            <w:r w:rsidRPr="00B13C71">
              <w:rPr>
                <w:rStyle w:val="iaj"/>
                <w:rFonts w:ascii="Cambria" w:hAnsi="Cambria"/>
                <w:b/>
                <w:bCs/>
                <w:color w:val="FF0000"/>
                <w:spacing w:val="2"/>
                <w:sz w:val="20"/>
                <w:szCs w:val="20"/>
                <w:highlight w:val="yellow"/>
              </w:rPr>
              <w:t>(agregado</w:t>
            </w:r>
            <w:r w:rsidRPr="00B13C71">
              <w:rPr>
                <w:rStyle w:val="iaj"/>
                <w:color w:val="FF0000"/>
                <w:spacing w:val="2"/>
                <w:sz w:val="20"/>
                <w:szCs w:val="20"/>
                <w:highlight w:val="yellow"/>
              </w:rPr>
              <w:t xml:space="preserve"> </w:t>
            </w:r>
            <w:r w:rsidRPr="00B13C71">
              <w:rPr>
                <w:rStyle w:val="iaj"/>
                <w:rFonts w:ascii="Cambria" w:hAnsi="Cambria"/>
                <w:b/>
                <w:bCs/>
                <w:color w:val="FF0000"/>
                <w:spacing w:val="2"/>
                <w:sz w:val="20"/>
                <w:szCs w:val="20"/>
                <w:highlight w:val="yellow"/>
              </w:rPr>
              <w:t xml:space="preserve">con artículo 61 proyecto de </w:t>
            </w:r>
            <w:r w:rsidR="00852E78">
              <w:rPr>
                <w:rStyle w:val="iaj"/>
                <w:rFonts w:ascii="Cambria" w:hAnsi="Cambria"/>
                <w:b/>
                <w:bCs/>
                <w:color w:val="FF0000"/>
                <w:spacing w:val="2"/>
                <w:sz w:val="20"/>
                <w:szCs w:val="20"/>
                <w:highlight w:val="yellow"/>
              </w:rPr>
              <w:t>Ley septiembre de 2025</w:t>
            </w:r>
            <w:r w:rsidRPr="00B13C71">
              <w:rPr>
                <w:rStyle w:val="iaj"/>
                <w:rFonts w:ascii="Cambria" w:hAnsi="Cambria"/>
                <w:b/>
                <w:bCs/>
                <w:color w:val="FF0000"/>
                <w:spacing w:val="2"/>
                <w:sz w:val="20"/>
                <w:szCs w:val="20"/>
                <w:highlight w:val="yellow"/>
              </w:rPr>
              <w:t>)</w:t>
            </w:r>
            <w:r w:rsidRPr="00B13C71">
              <w:rPr>
                <w:rFonts w:ascii="Cambria" w:hAnsi="Cambria"/>
                <w:b/>
                <w:bCs/>
                <w:color w:val="000000" w:themeColor="text1"/>
                <w:sz w:val="20"/>
                <w:szCs w:val="20"/>
                <w:highlight w:val="yellow"/>
              </w:rPr>
              <w:t>.</w:t>
            </w:r>
            <w:r w:rsidRPr="00B13C71">
              <w:rPr>
                <w:rFonts w:ascii="Cambria" w:hAnsi="Cambria"/>
                <w:color w:val="000000" w:themeColor="text1"/>
                <w:sz w:val="20"/>
                <w:szCs w:val="20"/>
                <w:highlight w:val="yellow"/>
              </w:rPr>
              <w:t> </w:t>
            </w:r>
            <w:r w:rsidRPr="00B13C71">
              <w:rPr>
                <w:rFonts w:ascii="Cambria" w:hAnsi="Cambria"/>
                <w:sz w:val="20"/>
                <w:szCs w:val="20"/>
                <w:highlight w:val="yellow"/>
              </w:rPr>
              <w:t xml:space="preserve">. Los sujetos obligados a expedir factura y/o documento equivalente que </w:t>
            </w:r>
            <w:r w:rsidRPr="00B13C71">
              <w:rPr>
                <w:rFonts w:ascii="Cambria" w:hAnsi="Cambria"/>
                <w:sz w:val="20"/>
                <w:szCs w:val="20"/>
                <w:highlight w:val="yellow"/>
              </w:rPr>
              <w:lastRenderedPageBreak/>
              <w:t xml:space="preserve">reconozcan voluntariamente que han omitido la obligación de expedir factura de venta y/o documento equivalente en el momento de realizarse la venta del bien y/o prestación del servicio, o que los citados documentos, se han expedido sin el lleno de los requisitos legales, podrán extinguir la falta, siempre que se liquide y se pague en forma voluntaria por las operaciones en las que se incumple con lo aquí previsto, la siguiente sanción: </w:t>
            </w:r>
          </w:p>
          <w:p w:rsidR="00B13C71" w:rsidRPr="00B13C71" w:rsidRDefault="00B13C71" w:rsidP="00B13C71">
            <w:pPr>
              <w:jc w:val="both"/>
              <w:rPr>
                <w:rFonts w:ascii="Cambria" w:hAnsi="Cambria"/>
                <w:sz w:val="20"/>
                <w:szCs w:val="20"/>
                <w:highlight w:val="yellow"/>
              </w:rPr>
            </w:pPr>
          </w:p>
          <w:p w:rsidR="00B13C71" w:rsidRP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1. El tres por ciento (3%) del valor total no facturado. </w:t>
            </w:r>
          </w:p>
          <w:p w:rsidR="00B13C71" w:rsidRDefault="00B13C71" w:rsidP="00B13C71">
            <w:pPr>
              <w:jc w:val="both"/>
              <w:rPr>
                <w:rFonts w:ascii="Cambria" w:hAnsi="Cambria"/>
                <w:sz w:val="20"/>
                <w:szCs w:val="20"/>
                <w:highlight w:val="yellow"/>
              </w:rPr>
            </w:pPr>
          </w:p>
          <w:p w:rsidR="00B13C71" w:rsidRP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2. El dos por ciento (2%) del valor facturado sin el lleno de los requisitos establecidos en la norma vigente. </w:t>
            </w:r>
          </w:p>
          <w:p w:rsidR="00B13C71" w:rsidRDefault="00B13C71" w:rsidP="00B13C71">
            <w:pPr>
              <w:jc w:val="both"/>
              <w:rPr>
                <w:rFonts w:ascii="Cambria" w:hAnsi="Cambria"/>
                <w:sz w:val="20"/>
                <w:szCs w:val="20"/>
                <w:highlight w:val="yellow"/>
              </w:rPr>
            </w:pPr>
          </w:p>
          <w:p w:rsidR="00B13C71" w:rsidRP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3. El valor de la sanción no podrá superar dos mil (2.000) UVT. </w:t>
            </w:r>
          </w:p>
          <w:p w:rsidR="00B13C71" w:rsidRDefault="00B13C71" w:rsidP="00B13C71">
            <w:pPr>
              <w:jc w:val="both"/>
              <w:rPr>
                <w:rFonts w:ascii="Cambria" w:hAnsi="Cambria"/>
                <w:sz w:val="20"/>
                <w:szCs w:val="20"/>
                <w:highlight w:val="yellow"/>
              </w:rPr>
            </w:pPr>
          </w:p>
          <w:p w:rsid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Parágrafo 1. El reconocimiento voluntario del incumplimiento previsto en el presente artículo se entenderá surtido con la liquidación en debida forma de la sanción, su pago y la presentación del recibo oficial previsto para tal efecto; lo anterior sin perjuicio de la declaración del ingreso u operación, junto con los impuestos que de ella se deriven. </w:t>
            </w:r>
          </w:p>
          <w:p w:rsidR="008E0F85" w:rsidRPr="00B13C71" w:rsidRDefault="008E0F85" w:rsidP="00B13C71">
            <w:pPr>
              <w:jc w:val="both"/>
              <w:rPr>
                <w:rFonts w:ascii="Cambria" w:hAnsi="Cambria"/>
                <w:sz w:val="20"/>
                <w:szCs w:val="20"/>
                <w:highlight w:val="yellow"/>
              </w:rPr>
            </w:pPr>
          </w:p>
          <w:p w:rsid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Para el pago de la sanción no aplica facilidad o acuerdo de pago, ni la compensación de que tratan los artículos 814 y 815 del Estatuto Tributario, respectivamente. </w:t>
            </w:r>
          </w:p>
          <w:p w:rsidR="008E0F85" w:rsidRPr="00B13C71" w:rsidRDefault="008E0F85" w:rsidP="00B13C71">
            <w:pPr>
              <w:jc w:val="both"/>
              <w:rPr>
                <w:rFonts w:ascii="Cambria" w:hAnsi="Cambria"/>
                <w:sz w:val="20"/>
                <w:szCs w:val="20"/>
                <w:highlight w:val="yellow"/>
              </w:rPr>
            </w:pPr>
          </w:p>
          <w:p w:rsidR="00B13C71" w:rsidRDefault="00B13C71" w:rsidP="00B13C71">
            <w:pPr>
              <w:jc w:val="both"/>
              <w:rPr>
                <w:rFonts w:ascii="Cambria" w:hAnsi="Cambria"/>
                <w:sz w:val="20"/>
                <w:szCs w:val="20"/>
                <w:highlight w:val="yellow"/>
              </w:rPr>
            </w:pPr>
            <w:r w:rsidRPr="00B13C71">
              <w:rPr>
                <w:rFonts w:ascii="Cambria" w:hAnsi="Cambria"/>
                <w:sz w:val="20"/>
                <w:szCs w:val="20"/>
                <w:highlight w:val="yellow"/>
              </w:rPr>
              <w:t xml:space="preserve">Parágrafo 2. El cumplimiento de lo previsto en el parágrafo 1 de este artículo, extingue la responsabilidad penal por el no cobro y no recaudo del impuesto sobre las ventas IVA y del impuesto nacional al consumo, por las operaciones subsanadas; igualmente la DIAN, se abstendrá de iniciar el procedimiento para la imposición de clausura de establecimiento de que trata el artículo 657 del Estatuto Tributario. </w:t>
            </w:r>
          </w:p>
          <w:p w:rsidR="008E0F85" w:rsidRPr="00B13C71" w:rsidRDefault="008E0F85" w:rsidP="00B13C71">
            <w:pPr>
              <w:jc w:val="both"/>
              <w:rPr>
                <w:rFonts w:ascii="Cambria" w:hAnsi="Cambria"/>
                <w:sz w:val="20"/>
                <w:szCs w:val="20"/>
                <w:highlight w:val="yellow"/>
              </w:rPr>
            </w:pPr>
          </w:p>
          <w:p w:rsidR="00B13C71" w:rsidRDefault="00B13C71" w:rsidP="00B13C71">
            <w:pPr>
              <w:jc w:val="both"/>
              <w:rPr>
                <w:rFonts w:ascii="Cambria" w:hAnsi="Cambria"/>
                <w:sz w:val="20"/>
                <w:szCs w:val="20"/>
                <w:highlight w:val="yellow"/>
              </w:rPr>
            </w:pPr>
            <w:r w:rsidRPr="00B13C71">
              <w:rPr>
                <w:rFonts w:ascii="Cambria" w:hAnsi="Cambria"/>
                <w:sz w:val="20"/>
                <w:szCs w:val="20"/>
                <w:highlight w:val="yellow"/>
              </w:rPr>
              <w:t>Parágrafo 3. Lo previsto en el presente artículo aplica sobre los hechos sancionables en los que no se les haya proferido pliego de cargos.</w:t>
            </w:r>
          </w:p>
          <w:p w:rsidR="008E0F85" w:rsidRPr="00B13C71" w:rsidRDefault="008E0F85" w:rsidP="00B13C71">
            <w:pPr>
              <w:jc w:val="both"/>
              <w:rPr>
                <w:rFonts w:ascii="Cambria" w:hAnsi="Cambria"/>
                <w:color w:val="000000" w:themeColor="text1"/>
                <w:sz w:val="20"/>
                <w:szCs w:val="20"/>
                <w:highlight w:val="yellow"/>
              </w:rPr>
            </w:pPr>
          </w:p>
        </w:tc>
      </w:tr>
      <w:tr w:rsidR="001A15CF" w:rsidTr="0059378C">
        <w:tc>
          <w:tcPr>
            <w:tcW w:w="4958" w:type="dxa"/>
          </w:tcPr>
          <w:p w:rsidR="001A15CF" w:rsidRDefault="001A15CF" w:rsidP="001A15CF">
            <w:pPr>
              <w:jc w:val="both"/>
              <w:rPr>
                <w:rFonts w:ascii="Cambria" w:hAnsi="Cambria"/>
                <w:sz w:val="20"/>
                <w:szCs w:val="20"/>
              </w:rPr>
            </w:pPr>
            <w:bookmarkStart w:id="42" w:name="671"/>
            <w:r w:rsidRPr="001A15CF">
              <w:rPr>
                <w:rFonts w:ascii="Cambria" w:hAnsi="Cambria"/>
                <w:b/>
                <w:bCs/>
                <w:color w:val="000000" w:themeColor="text1"/>
                <w:sz w:val="20"/>
                <w:szCs w:val="20"/>
              </w:rPr>
              <w:lastRenderedPageBreak/>
              <w:t>Articulo 671. Sanción de declaración de proveedor ficticio o insolvente</w:t>
            </w:r>
            <w:r w:rsidRPr="001A15CF">
              <w:rPr>
                <w:rFonts w:ascii="Cambria" w:hAnsi="Cambria"/>
                <w:color w:val="00A9E0"/>
                <w:sz w:val="20"/>
                <w:szCs w:val="20"/>
                <w:u w:val="single"/>
              </w:rPr>
              <w:t>.</w:t>
            </w:r>
            <w:bookmarkEnd w:id="42"/>
            <w:r w:rsidRPr="001A15CF">
              <w:rPr>
                <w:rFonts w:ascii="Cambria" w:hAnsi="Cambria"/>
                <w:sz w:val="20"/>
                <w:szCs w:val="20"/>
              </w:rPr>
              <w:t>  No serán deducibles en el impuesto sobre la renta, ni darán derecho a impuestos descontables en el impuesto sobre las ventas, las compras o gastos efectuados a quienes la DIAN hubiere declarado como:</w:t>
            </w:r>
          </w:p>
          <w:p w:rsidR="001A15CF" w:rsidRDefault="001A15CF" w:rsidP="001A15CF">
            <w:pPr>
              <w:jc w:val="both"/>
              <w:rPr>
                <w:rFonts w:ascii="Cambria" w:hAnsi="Cambria"/>
                <w:sz w:val="20"/>
                <w:szCs w:val="20"/>
              </w:rPr>
            </w:pPr>
          </w:p>
          <w:p w:rsidR="001A15CF" w:rsidRPr="001A15CF" w:rsidRDefault="001A15CF" w:rsidP="001A15CF">
            <w:pPr>
              <w:jc w:val="both"/>
              <w:rPr>
                <w:rFonts w:ascii="Cambria" w:hAnsi="Cambria"/>
                <w:sz w:val="20"/>
                <w:szCs w:val="20"/>
              </w:rPr>
            </w:pPr>
          </w:p>
          <w:p w:rsidR="001A15CF" w:rsidRDefault="001A15CF" w:rsidP="001A15CF">
            <w:pPr>
              <w:jc w:val="both"/>
              <w:rPr>
                <w:rFonts w:ascii="Cambria" w:hAnsi="Cambria"/>
                <w:sz w:val="20"/>
                <w:szCs w:val="20"/>
              </w:rPr>
            </w:pPr>
            <w:r w:rsidRPr="001A15CF">
              <w:rPr>
                <w:rFonts w:ascii="Cambria" w:hAnsi="Cambria"/>
                <w:sz w:val="20"/>
                <w:szCs w:val="20"/>
              </w:rPr>
              <w:t xml:space="preserve">a) Proveedores ficticios, en el caso de aquellas personas o entidades que facturen ventas o prestación de </w:t>
            </w:r>
            <w:r w:rsidRPr="001A15CF">
              <w:rPr>
                <w:rFonts w:ascii="Cambria" w:hAnsi="Cambria"/>
                <w:sz w:val="20"/>
                <w:szCs w:val="20"/>
              </w:rPr>
              <w:lastRenderedPageBreak/>
              <w:t>servicios simulados o inexistentes. Esta calificación se levantará pasados cinco (5) años de haber sido efectuada;</w:t>
            </w:r>
          </w:p>
          <w:p w:rsidR="001A15CF" w:rsidRPr="001A15CF" w:rsidRDefault="001A15CF" w:rsidP="001A15CF">
            <w:pPr>
              <w:jc w:val="both"/>
              <w:rPr>
                <w:rFonts w:ascii="Cambria" w:hAnsi="Cambria"/>
                <w:sz w:val="20"/>
                <w:szCs w:val="20"/>
              </w:rPr>
            </w:pPr>
          </w:p>
          <w:p w:rsidR="001A15CF" w:rsidRDefault="001A15CF" w:rsidP="001A15CF">
            <w:pPr>
              <w:jc w:val="both"/>
              <w:rPr>
                <w:rFonts w:ascii="Cambria" w:hAnsi="Cambria"/>
                <w:sz w:val="20"/>
                <w:szCs w:val="20"/>
              </w:rPr>
            </w:pPr>
            <w:r w:rsidRPr="001A15CF">
              <w:rPr>
                <w:rFonts w:ascii="Cambria" w:hAnsi="Cambria"/>
                <w:sz w:val="20"/>
                <w:szCs w:val="20"/>
              </w:rPr>
              <w:t>b) Insolventes, en el caso de aquellas personas o entidades a quienes no se haya podido cobrar las deudas tributarias, en razón a que traspasaron sus bienes a terceras personas, con el fin de eludir el cobro de la Administración. La Administración deberá levantar la calificación de insolvente, cuando la persona o entidad pague o acuerde el pago de las sumas adeudadas. Estas compras o gastos dejarán de ser deducibles desde la fecha de publicación en un diario de amplia circulación nacional de la correspondiente declaratoria.</w:t>
            </w:r>
          </w:p>
          <w:p w:rsidR="001A15CF" w:rsidRPr="001A15CF" w:rsidRDefault="001A15CF" w:rsidP="001A15CF">
            <w:pPr>
              <w:jc w:val="both"/>
              <w:rPr>
                <w:rFonts w:ascii="Cambria" w:hAnsi="Cambria"/>
                <w:sz w:val="20"/>
                <w:szCs w:val="20"/>
              </w:rPr>
            </w:pPr>
          </w:p>
          <w:p w:rsidR="001A15CF" w:rsidRDefault="001A15CF" w:rsidP="001A15CF">
            <w:pPr>
              <w:jc w:val="both"/>
              <w:rPr>
                <w:rFonts w:ascii="Cambria" w:hAnsi="Cambria"/>
                <w:color w:val="454545"/>
                <w:sz w:val="20"/>
                <w:szCs w:val="20"/>
              </w:rPr>
            </w:pPr>
            <w:r w:rsidRPr="001A15CF">
              <w:rPr>
                <w:rFonts w:ascii="Cambria" w:hAnsi="Cambria"/>
                <w:sz w:val="20"/>
                <w:szCs w:val="20"/>
              </w:rPr>
              <w:t>La sanción a que se refiere el presente artículo, deberá imponerse mediante resolución, previo traslado de cargos por el término de un mes para responder.</w:t>
            </w:r>
          </w:p>
          <w:p w:rsidR="001A15CF" w:rsidRPr="001A15CF" w:rsidRDefault="001A15CF" w:rsidP="001A15CF">
            <w:pPr>
              <w:jc w:val="both"/>
              <w:rPr>
                <w:rFonts w:ascii="Cambria" w:hAnsi="Cambria"/>
                <w:color w:val="454545"/>
                <w:sz w:val="20"/>
                <w:szCs w:val="20"/>
              </w:rPr>
            </w:pPr>
            <w:r w:rsidRPr="001A15CF">
              <w:rPr>
                <w:rFonts w:ascii="Cambria" w:hAnsi="Cambria"/>
                <w:color w:val="454545"/>
                <w:sz w:val="20"/>
                <w:szCs w:val="20"/>
              </w:rPr>
              <w:t xml:space="preserve"> </w:t>
            </w:r>
          </w:p>
          <w:p w:rsidR="001A15CF" w:rsidRPr="001A15CF" w:rsidRDefault="001A15CF" w:rsidP="001A15CF">
            <w:pPr>
              <w:jc w:val="both"/>
              <w:rPr>
                <w:rFonts w:ascii="Cambria" w:hAnsi="Cambria"/>
                <w:sz w:val="20"/>
                <w:szCs w:val="20"/>
              </w:rPr>
            </w:pPr>
            <w:r w:rsidRPr="001A15CF">
              <w:rPr>
                <w:rFonts w:ascii="Cambria" w:hAnsi="Cambria"/>
                <w:sz w:val="20"/>
                <w:szCs w:val="20"/>
              </w:rPr>
              <w:t>La publicación antes mencionada, se hará una vez se agote la vía gubernativa.</w:t>
            </w:r>
          </w:p>
          <w:p w:rsidR="001A15CF" w:rsidRPr="001A15CF" w:rsidRDefault="001A15CF" w:rsidP="001A15CF">
            <w:pPr>
              <w:jc w:val="both"/>
              <w:rPr>
                <w:rFonts w:ascii="Cambria" w:hAnsi="Cambria"/>
                <w:b/>
                <w:bCs/>
                <w:color w:val="000000" w:themeColor="text1"/>
                <w:sz w:val="20"/>
                <w:szCs w:val="20"/>
              </w:rPr>
            </w:pPr>
          </w:p>
        </w:tc>
        <w:tc>
          <w:tcPr>
            <w:tcW w:w="4865" w:type="dxa"/>
          </w:tcPr>
          <w:p w:rsidR="001A15CF" w:rsidRPr="001A15CF" w:rsidRDefault="001A15CF" w:rsidP="001A15CF">
            <w:pPr>
              <w:jc w:val="both"/>
              <w:rPr>
                <w:rFonts w:ascii="Cambria" w:hAnsi="Cambria"/>
                <w:sz w:val="20"/>
                <w:szCs w:val="20"/>
              </w:rPr>
            </w:pPr>
            <w:r w:rsidRPr="00852E78">
              <w:rPr>
                <w:rFonts w:ascii="Cambria" w:hAnsi="Cambria"/>
                <w:b/>
                <w:bCs/>
                <w:color w:val="000000" w:themeColor="text1"/>
                <w:sz w:val="20"/>
                <w:szCs w:val="20"/>
              </w:rPr>
              <w:lastRenderedPageBreak/>
              <w:t>Articulo 671. Sanción de declaración de proveedor ficticio o insolvente</w:t>
            </w:r>
            <w:r w:rsidRPr="001A15CF">
              <w:rPr>
                <w:rFonts w:ascii="Cambria" w:hAnsi="Cambria"/>
                <w:color w:val="000000" w:themeColor="text1"/>
                <w:sz w:val="20"/>
                <w:szCs w:val="20"/>
              </w:rPr>
              <w:t xml:space="preserve"> </w:t>
            </w:r>
            <w:r w:rsidRPr="001A15CF">
              <w:rPr>
                <w:rStyle w:val="iaj"/>
                <w:rFonts w:ascii="Cambria" w:hAnsi="Cambria"/>
                <w:b/>
                <w:bCs/>
                <w:color w:val="FF0000"/>
                <w:spacing w:val="2"/>
                <w:sz w:val="20"/>
                <w:szCs w:val="20"/>
              </w:rPr>
              <w:t>(modificado</w:t>
            </w:r>
            <w:r w:rsidRPr="001A15CF">
              <w:rPr>
                <w:rStyle w:val="iaj"/>
                <w:rFonts w:ascii="Cambria" w:hAnsi="Cambria"/>
                <w:color w:val="FF0000"/>
                <w:spacing w:val="2"/>
                <w:sz w:val="20"/>
                <w:szCs w:val="20"/>
              </w:rPr>
              <w:t xml:space="preserve"> </w:t>
            </w:r>
            <w:r w:rsidRPr="001A15CF">
              <w:rPr>
                <w:rStyle w:val="iaj"/>
                <w:rFonts w:ascii="Cambria" w:hAnsi="Cambria"/>
                <w:b/>
                <w:bCs/>
                <w:color w:val="FF0000"/>
                <w:spacing w:val="2"/>
                <w:sz w:val="20"/>
                <w:szCs w:val="20"/>
              </w:rPr>
              <w:t xml:space="preserve">con artículo 74 proyecto de </w:t>
            </w:r>
            <w:r w:rsidR="00852E78">
              <w:rPr>
                <w:rStyle w:val="iaj"/>
                <w:rFonts w:ascii="Cambria" w:hAnsi="Cambria"/>
                <w:b/>
                <w:bCs/>
                <w:color w:val="FF0000"/>
                <w:spacing w:val="2"/>
                <w:sz w:val="20"/>
                <w:szCs w:val="20"/>
              </w:rPr>
              <w:t>Ley septiembre de 2025</w:t>
            </w:r>
            <w:r w:rsidRPr="001A15CF">
              <w:rPr>
                <w:rStyle w:val="iaj"/>
                <w:rFonts w:ascii="Cambria" w:hAnsi="Cambria"/>
                <w:b/>
                <w:bCs/>
                <w:color w:val="FF0000"/>
                <w:spacing w:val="2"/>
                <w:sz w:val="20"/>
                <w:szCs w:val="20"/>
              </w:rPr>
              <w:t>)</w:t>
            </w:r>
            <w:r w:rsidRPr="001A15CF">
              <w:rPr>
                <w:rFonts w:ascii="Cambria" w:hAnsi="Cambria"/>
                <w:color w:val="000000" w:themeColor="text1"/>
                <w:sz w:val="20"/>
                <w:szCs w:val="20"/>
              </w:rPr>
              <w:t>. </w:t>
            </w:r>
            <w:r w:rsidRPr="001A15CF">
              <w:rPr>
                <w:rFonts w:ascii="Cambria" w:hAnsi="Cambria"/>
                <w:color w:val="00A9E0"/>
                <w:sz w:val="20"/>
                <w:szCs w:val="20"/>
                <w:u w:val="single"/>
              </w:rPr>
              <w:t>.</w:t>
            </w:r>
            <w:r w:rsidRPr="001A15CF">
              <w:rPr>
                <w:rFonts w:ascii="Cambria" w:hAnsi="Cambria"/>
                <w:sz w:val="20"/>
                <w:szCs w:val="20"/>
              </w:rPr>
              <w:t>  No serán deducibles en el impuesto sobre la renta, ni darán derecho a impuestos descontables en el impuesto sobre las ventas, las compras o gastos efectuados a quienes la DIAN hubiere declarado como:</w:t>
            </w:r>
          </w:p>
          <w:p w:rsidR="001A15CF" w:rsidRPr="001A15CF" w:rsidRDefault="001A15CF" w:rsidP="001A15CF">
            <w:pPr>
              <w:jc w:val="both"/>
              <w:rPr>
                <w:rFonts w:ascii="Cambria" w:hAnsi="Cambria"/>
                <w:sz w:val="20"/>
                <w:szCs w:val="20"/>
              </w:rPr>
            </w:pPr>
          </w:p>
          <w:p w:rsidR="001A15CF" w:rsidRPr="001A15CF" w:rsidRDefault="001A15CF" w:rsidP="001A15CF">
            <w:pPr>
              <w:jc w:val="both"/>
              <w:rPr>
                <w:rFonts w:ascii="Cambria" w:hAnsi="Cambria"/>
                <w:sz w:val="20"/>
                <w:szCs w:val="20"/>
              </w:rPr>
            </w:pPr>
            <w:r w:rsidRPr="001A15CF">
              <w:rPr>
                <w:rFonts w:ascii="Cambria" w:hAnsi="Cambria"/>
                <w:sz w:val="20"/>
                <w:szCs w:val="20"/>
              </w:rPr>
              <w:t xml:space="preserve">a) Proveedores ficticios, en el caso de aquellas personas o entidades que facturen ventas o prestación </w:t>
            </w:r>
            <w:r w:rsidRPr="001A15CF">
              <w:rPr>
                <w:rFonts w:ascii="Cambria" w:hAnsi="Cambria"/>
                <w:sz w:val="20"/>
                <w:szCs w:val="20"/>
              </w:rPr>
              <w:lastRenderedPageBreak/>
              <w:t>de servicios simulados o inexistentes. Esta calificación se levantará pasados cinco (5) años de haber sido efectuada;</w:t>
            </w:r>
          </w:p>
          <w:p w:rsidR="001A15CF" w:rsidRPr="001A15CF" w:rsidRDefault="001A15CF" w:rsidP="001A15CF">
            <w:pPr>
              <w:jc w:val="both"/>
              <w:rPr>
                <w:rFonts w:ascii="Cambria" w:hAnsi="Cambria"/>
                <w:sz w:val="20"/>
                <w:szCs w:val="20"/>
              </w:rPr>
            </w:pPr>
          </w:p>
          <w:p w:rsidR="001A15CF" w:rsidRPr="001A15CF" w:rsidRDefault="001A15CF" w:rsidP="001A15CF">
            <w:pPr>
              <w:jc w:val="both"/>
              <w:rPr>
                <w:rFonts w:ascii="Cambria" w:hAnsi="Cambria"/>
                <w:sz w:val="20"/>
                <w:szCs w:val="20"/>
              </w:rPr>
            </w:pPr>
            <w:r w:rsidRPr="001A15CF">
              <w:rPr>
                <w:rFonts w:ascii="Cambria" w:hAnsi="Cambria"/>
                <w:sz w:val="20"/>
                <w:szCs w:val="20"/>
              </w:rPr>
              <w:t>b) Insolventes, en el caso de aquellas personas o entidades a quienes no se haya podido cobrar las deudas tributarias, en razón a que traspasaron sus bienes a terceras personas, con el fin de eludir el cobro de la Administración. La Administración deberá levantar la calificación de insolvente, cuando la persona o entidad pague o acuerde el pago de las sumas adeudadas. Estas compras o gastos dejarán de ser deducibles desde la fecha de publicación en un diario de amplia circulación nacional de la correspondiente declaratoria.</w:t>
            </w:r>
          </w:p>
          <w:p w:rsidR="001A15CF" w:rsidRPr="001A15CF" w:rsidRDefault="001A15CF" w:rsidP="001A15CF">
            <w:pPr>
              <w:jc w:val="both"/>
              <w:rPr>
                <w:rFonts w:ascii="Cambria" w:hAnsi="Cambria"/>
                <w:sz w:val="20"/>
                <w:szCs w:val="20"/>
              </w:rPr>
            </w:pPr>
          </w:p>
          <w:p w:rsidR="001A15CF" w:rsidRPr="001A15CF" w:rsidRDefault="001A15CF" w:rsidP="001A15CF">
            <w:pPr>
              <w:jc w:val="both"/>
              <w:rPr>
                <w:rFonts w:ascii="Cambria" w:hAnsi="Cambria"/>
                <w:color w:val="454545"/>
                <w:sz w:val="20"/>
                <w:szCs w:val="20"/>
              </w:rPr>
            </w:pPr>
            <w:r w:rsidRPr="001A15CF">
              <w:rPr>
                <w:rFonts w:ascii="Cambria" w:hAnsi="Cambria"/>
                <w:sz w:val="20"/>
                <w:szCs w:val="20"/>
              </w:rPr>
              <w:t>La sanción a que se refiere el presente artículo, deberá imponerse mediante resolución, previo traslado de cargos por el término de un mes para responder.</w:t>
            </w:r>
          </w:p>
          <w:p w:rsidR="001A15CF" w:rsidRPr="001A15CF" w:rsidRDefault="001A15CF" w:rsidP="001A15CF">
            <w:pPr>
              <w:jc w:val="both"/>
              <w:rPr>
                <w:rFonts w:ascii="Cambria" w:hAnsi="Cambria"/>
                <w:color w:val="454545"/>
                <w:sz w:val="20"/>
                <w:szCs w:val="20"/>
              </w:rPr>
            </w:pPr>
            <w:r w:rsidRPr="001A15CF">
              <w:rPr>
                <w:rFonts w:ascii="Cambria" w:hAnsi="Cambria"/>
                <w:color w:val="454545"/>
                <w:sz w:val="20"/>
                <w:szCs w:val="20"/>
              </w:rPr>
              <w:t xml:space="preserve"> </w:t>
            </w:r>
          </w:p>
          <w:p w:rsidR="001A15CF" w:rsidRPr="001A15CF" w:rsidRDefault="001A15CF" w:rsidP="001A15CF">
            <w:pPr>
              <w:jc w:val="both"/>
              <w:rPr>
                <w:rFonts w:ascii="Cambria" w:hAnsi="Cambria"/>
                <w:sz w:val="20"/>
                <w:szCs w:val="20"/>
              </w:rPr>
            </w:pPr>
            <w:r w:rsidRPr="001A15CF">
              <w:rPr>
                <w:rFonts w:ascii="Cambria" w:hAnsi="Cambria"/>
                <w:sz w:val="20"/>
                <w:szCs w:val="20"/>
              </w:rPr>
              <w:t>La publicación antes mencionada, se hará una vez se agote la vía gubernativa.</w:t>
            </w:r>
          </w:p>
          <w:p w:rsidR="001A15CF" w:rsidRPr="001A15CF" w:rsidRDefault="001A15CF" w:rsidP="001A15CF">
            <w:pPr>
              <w:jc w:val="both"/>
              <w:rPr>
                <w:rFonts w:ascii="Cambria" w:hAnsi="Cambria"/>
                <w:color w:val="000000" w:themeColor="text1"/>
                <w:sz w:val="20"/>
                <w:szCs w:val="20"/>
              </w:rPr>
            </w:pPr>
          </w:p>
          <w:p w:rsidR="001A15CF" w:rsidRPr="001A15CF" w:rsidRDefault="001A15CF" w:rsidP="001A15CF">
            <w:pPr>
              <w:jc w:val="both"/>
              <w:rPr>
                <w:rFonts w:ascii="Cambria" w:hAnsi="Cambria"/>
                <w:sz w:val="20"/>
                <w:szCs w:val="20"/>
                <w:highlight w:val="yellow"/>
              </w:rPr>
            </w:pPr>
            <w:r w:rsidRPr="001A15CF">
              <w:rPr>
                <w:rFonts w:ascii="Cambria" w:hAnsi="Cambria"/>
                <w:sz w:val="20"/>
                <w:szCs w:val="20"/>
                <w:highlight w:val="yellow"/>
              </w:rPr>
              <w:t xml:space="preserve">Parágrafo 1. El proceso de calificación como proveedor ficticio recaerá sobre las personas jurídicas, sus socios o accionistas directos o indirectos, y sobre sus beneficiarios finales, siempre que tengan control directo o indirecto del contribuyente contra el que se inicia el proceso de calificación. Así mismo, recaerá sobre las sociedades controladas directa o indirectamente por dichos beneficiarios. Para el efecto todos deberán ser vinculados al proceso administrativo desde el principio para que ejerzan su derecho a la defensa. </w:t>
            </w:r>
          </w:p>
          <w:p w:rsidR="001A15CF" w:rsidRPr="001A15CF" w:rsidRDefault="001A15CF" w:rsidP="001A15CF">
            <w:pPr>
              <w:jc w:val="both"/>
              <w:rPr>
                <w:rFonts w:ascii="Cambria" w:hAnsi="Cambria"/>
                <w:sz w:val="20"/>
                <w:szCs w:val="20"/>
                <w:highlight w:val="yellow"/>
              </w:rPr>
            </w:pPr>
          </w:p>
          <w:p w:rsidR="001A15CF" w:rsidRDefault="001A15CF" w:rsidP="001A15CF">
            <w:pPr>
              <w:jc w:val="both"/>
              <w:rPr>
                <w:rFonts w:ascii="Cambria" w:hAnsi="Cambria"/>
                <w:sz w:val="20"/>
                <w:szCs w:val="20"/>
                <w:highlight w:val="yellow"/>
              </w:rPr>
            </w:pPr>
            <w:r w:rsidRPr="001A15CF">
              <w:rPr>
                <w:rFonts w:ascii="Cambria" w:hAnsi="Cambria"/>
                <w:sz w:val="20"/>
                <w:szCs w:val="20"/>
                <w:highlight w:val="yellow"/>
              </w:rPr>
              <w:t xml:space="preserve">Parágrafo 2. Cuando una persona sea declarada como proveedor ficticio, también lo serán las personas jurídicas que ésta constituya durante los siguientes 5 años, así como aquellas en las que figure como administrador, o aquellas en las que adquiere el control durante este mismo lapso. El tiempo de calificación previsto en este parágrafo será de cinco (5) años contados desde la constitución, desde la inscripción como administrador o desde el momento en que adquiere el control según sea el caso. </w:t>
            </w:r>
          </w:p>
          <w:p w:rsidR="001A15CF" w:rsidRPr="001A15CF" w:rsidRDefault="001A15CF" w:rsidP="001A15CF">
            <w:pPr>
              <w:jc w:val="both"/>
              <w:rPr>
                <w:rFonts w:ascii="Cambria" w:hAnsi="Cambria"/>
                <w:sz w:val="20"/>
                <w:szCs w:val="20"/>
                <w:highlight w:val="yellow"/>
              </w:rPr>
            </w:pPr>
          </w:p>
          <w:p w:rsidR="001A15CF" w:rsidRDefault="001A15CF" w:rsidP="001A15CF">
            <w:pPr>
              <w:jc w:val="both"/>
              <w:rPr>
                <w:rFonts w:ascii="Cambria" w:hAnsi="Cambria"/>
                <w:sz w:val="20"/>
                <w:szCs w:val="20"/>
              </w:rPr>
            </w:pPr>
            <w:r w:rsidRPr="001A15CF">
              <w:rPr>
                <w:rFonts w:ascii="Cambria" w:hAnsi="Cambria"/>
                <w:sz w:val="20"/>
                <w:szCs w:val="20"/>
                <w:highlight w:val="yellow"/>
              </w:rPr>
              <w:t>También se constituirán como proveedores ficticios las sociedades en donde el socio o accionista haya sido calificado como proveedor ficticio, siempre que el socio o accionista controle directa o indirectamente la sociedad.</w:t>
            </w:r>
          </w:p>
          <w:p w:rsidR="001A15CF" w:rsidRPr="001A15CF" w:rsidRDefault="001A15CF" w:rsidP="001A15CF">
            <w:pPr>
              <w:jc w:val="both"/>
              <w:rPr>
                <w:rFonts w:ascii="Cambria" w:hAnsi="Cambria"/>
                <w:color w:val="000000" w:themeColor="text1"/>
                <w:sz w:val="20"/>
                <w:szCs w:val="20"/>
              </w:rPr>
            </w:pPr>
          </w:p>
        </w:tc>
      </w:tr>
      <w:tr w:rsidR="00C80239" w:rsidTr="0059378C">
        <w:tc>
          <w:tcPr>
            <w:tcW w:w="4958" w:type="dxa"/>
          </w:tcPr>
          <w:p w:rsidR="00C80239" w:rsidRDefault="00C80239" w:rsidP="00C80239">
            <w:pPr>
              <w:jc w:val="both"/>
              <w:rPr>
                <w:rFonts w:ascii="Cambria" w:hAnsi="Cambria"/>
                <w:color w:val="454545"/>
                <w:sz w:val="20"/>
                <w:szCs w:val="20"/>
              </w:rPr>
            </w:pPr>
            <w:bookmarkStart w:id="43" w:name="701"/>
            <w:r w:rsidRPr="00C80239">
              <w:rPr>
                <w:rFonts w:ascii="Cambria" w:hAnsi="Cambria"/>
                <w:b/>
                <w:bCs/>
                <w:color w:val="000000" w:themeColor="text1"/>
                <w:sz w:val="20"/>
                <w:szCs w:val="20"/>
              </w:rPr>
              <w:lastRenderedPageBreak/>
              <w:t>Articulo 701. Corrección de sanciones.</w:t>
            </w:r>
            <w:bookmarkEnd w:id="43"/>
            <w:r w:rsidRPr="00C80239">
              <w:rPr>
                <w:rFonts w:ascii="Cambria" w:hAnsi="Cambria"/>
                <w:b/>
                <w:bCs/>
                <w:color w:val="000000" w:themeColor="text1"/>
                <w:sz w:val="20"/>
                <w:szCs w:val="20"/>
              </w:rPr>
              <w:t> </w:t>
            </w:r>
            <w:r w:rsidRPr="00C80239">
              <w:rPr>
                <w:rFonts w:ascii="Cambria" w:hAnsi="Cambria"/>
                <w:sz w:val="20"/>
                <w:szCs w:val="20"/>
              </w:rPr>
              <w:t xml:space="preserve">Cuando el contribuyente, responsable, agente retenedor o </w:t>
            </w:r>
            <w:r w:rsidRPr="00C80239">
              <w:rPr>
                <w:rFonts w:ascii="Cambria" w:hAnsi="Cambria"/>
                <w:sz w:val="20"/>
                <w:szCs w:val="20"/>
              </w:rPr>
              <w:lastRenderedPageBreak/>
              <w:t>declarante, no hubiere liquidado en su declaración las sanciones a que estuviere obligado o las hubiere liquidado incorrectamente la Administración las liquidará incrementadas en un treinta por ciento (30%). Cuando la sanción se imponga mediante resolución independiente procede el recurso de reconsideración.</w:t>
            </w:r>
          </w:p>
          <w:p w:rsidR="00C80239" w:rsidRPr="00C80239" w:rsidRDefault="00C80239" w:rsidP="00C80239">
            <w:pPr>
              <w:jc w:val="both"/>
              <w:rPr>
                <w:rFonts w:ascii="Cambria" w:hAnsi="Cambria"/>
                <w:color w:val="454545"/>
                <w:sz w:val="20"/>
                <w:szCs w:val="20"/>
              </w:rPr>
            </w:pPr>
            <w:r w:rsidRPr="00C80239">
              <w:rPr>
                <w:rFonts w:ascii="Cambria" w:hAnsi="Cambria"/>
                <w:color w:val="454545"/>
                <w:sz w:val="20"/>
                <w:szCs w:val="20"/>
              </w:rPr>
              <w:t xml:space="preserve"> </w:t>
            </w:r>
          </w:p>
          <w:p w:rsidR="00C80239" w:rsidRPr="00C80239" w:rsidRDefault="00C80239" w:rsidP="00C80239">
            <w:pPr>
              <w:jc w:val="both"/>
              <w:rPr>
                <w:rFonts w:ascii="Cambria" w:hAnsi="Cambria"/>
                <w:sz w:val="20"/>
                <w:szCs w:val="20"/>
              </w:rPr>
            </w:pPr>
            <w:r w:rsidRPr="00C80239">
              <w:rPr>
                <w:rFonts w:ascii="Cambria" w:hAnsi="Cambria"/>
                <w:sz w:val="20"/>
                <w:szCs w:val="20"/>
              </w:rPr>
              <w:t>El incremento de la sanción se reducirá a la mitad de su valor, si el contribuyente, responsable, agente retenedor o declarante, dentro del término establecido para interponer el recurso respectivo, acepta los hechos, renuncia al mismo y cancela el valor total de la sanción más el incremento reducido.</w:t>
            </w:r>
          </w:p>
          <w:p w:rsidR="00C80239" w:rsidRPr="00C80239" w:rsidRDefault="00C80239" w:rsidP="00C80239">
            <w:pPr>
              <w:jc w:val="both"/>
              <w:rPr>
                <w:rFonts w:ascii="Cambria" w:hAnsi="Cambria"/>
                <w:b/>
                <w:bCs/>
                <w:color w:val="000000" w:themeColor="text1"/>
                <w:sz w:val="20"/>
                <w:szCs w:val="20"/>
              </w:rPr>
            </w:pPr>
          </w:p>
        </w:tc>
        <w:tc>
          <w:tcPr>
            <w:tcW w:w="4865" w:type="dxa"/>
          </w:tcPr>
          <w:p w:rsidR="00C80239" w:rsidRDefault="00C80239" w:rsidP="00C80239">
            <w:pPr>
              <w:jc w:val="both"/>
              <w:rPr>
                <w:rFonts w:ascii="Cambria" w:hAnsi="Cambria"/>
                <w:color w:val="454545"/>
                <w:sz w:val="20"/>
                <w:szCs w:val="20"/>
              </w:rPr>
            </w:pPr>
            <w:r w:rsidRPr="00C80239">
              <w:rPr>
                <w:rFonts w:ascii="Cambria" w:hAnsi="Cambria"/>
                <w:b/>
                <w:bCs/>
                <w:color w:val="000000" w:themeColor="text1"/>
                <w:sz w:val="20"/>
                <w:szCs w:val="20"/>
              </w:rPr>
              <w:lastRenderedPageBreak/>
              <w:t>Articulo 701. Corrección de sanciones</w:t>
            </w:r>
            <w:r>
              <w:rPr>
                <w:rFonts w:ascii="Cambria" w:hAnsi="Cambria"/>
                <w:b/>
                <w:bCs/>
                <w:color w:val="000000" w:themeColor="text1"/>
                <w:sz w:val="20"/>
                <w:szCs w:val="20"/>
              </w:rPr>
              <w:t xml:space="preserve"> </w:t>
            </w:r>
            <w:r w:rsidRPr="001A15CF">
              <w:rPr>
                <w:rStyle w:val="iaj"/>
                <w:rFonts w:ascii="Cambria" w:hAnsi="Cambria"/>
                <w:b/>
                <w:bCs/>
                <w:color w:val="FF0000"/>
                <w:spacing w:val="2"/>
                <w:sz w:val="20"/>
                <w:szCs w:val="20"/>
              </w:rPr>
              <w:t>(modificado</w:t>
            </w:r>
            <w:r w:rsidRPr="001A15CF">
              <w:rPr>
                <w:rStyle w:val="iaj"/>
                <w:rFonts w:ascii="Cambria" w:hAnsi="Cambria"/>
                <w:color w:val="FF0000"/>
                <w:spacing w:val="2"/>
                <w:sz w:val="20"/>
                <w:szCs w:val="20"/>
              </w:rPr>
              <w:t xml:space="preserve"> </w:t>
            </w:r>
            <w:r w:rsidRPr="001A15CF">
              <w:rPr>
                <w:rStyle w:val="iaj"/>
                <w:rFonts w:ascii="Cambria" w:hAnsi="Cambria"/>
                <w:b/>
                <w:bCs/>
                <w:color w:val="FF0000"/>
                <w:spacing w:val="2"/>
                <w:sz w:val="20"/>
                <w:szCs w:val="20"/>
              </w:rPr>
              <w:t>con artículo 7</w:t>
            </w:r>
            <w:r>
              <w:rPr>
                <w:rStyle w:val="iaj"/>
                <w:rFonts w:ascii="Cambria" w:hAnsi="Cambria"/>
                <w:b/>
                <w:bCs/>
                <w:color w:val="FF0000"/>
                <w:spacing w:val="2"/>
                <w:sz w:val="20"/>
                <w:szCs w:val="20"/>
              </w:rPr>
              <w:t>9</w:t>
            </w:r>
            <w:r w:rsidRPr="001A15CF">
              <w:rPr>
                <w:rStyle w:val="iaj"/>
                <w:rFonts w:ascii="Cambria" w:hAnsi="Cambria"/>
                <w:b/>
                <w:bCs/>
                <w:color w:val="FF0000"/>
                <w:spacing w:val="2"/>
                <w:sz w:val="20"/>
                <w:szCs w:val="20"/>
              </w:rPr>
              <w:t xml:space="preserve"> proyecto de </w:t>
            </w:r>
            <w:r w:rsidR="00852E78">
              <w:rPr>
                <w:rStyle w:val="iaj"/>
                <w:rFonts w:ascii="Cambria" w:hAnsi="Cambria"/>
                <w:b/>
                <w:bCs/>
                <w:color w:val="FF0000"/>
                <w:spacing w:val="2"/>
                <w:sz w:val="20"/>
                <w:szCs w:val="20"/>
              </w:rPr>
              <w:t xml:space="preserve">Ley septiembre de </w:t>
            </w:r>
            <w:r w:rsidR="00852E78">
              <w:rPr>
                <w:rStyle w:val="iaj"/>
                <w:rFonts w:ascii="Cambria" w:hAnsi="Cambria"/>
                <w:b/>
                <w:bCs/>
                <w:color w:val="FF0000"/>
                <w:spacing w:val="2"/>
                <w:sz w:val="20"/>
                <w:szCs w:val="20"/>
              </w:rPr>
              <w:lastRenderedPageBreak/>
              <w:t>2025</w:t>
            </w:r>
            <w:r w:rsidRPr="001A15CF">
              <w:rPr>
                <w:rStyle w:val="iaj"/>
                <w:rFonts w:ascii="Cambria" w:hAnsi="Cambria"/>
                <w:b/>
                <w:bCs/>
                <w:color w:val="FF0000"/>
                <w:spacing w:val="2"/>
                <w:sz w:val="20"/>
                <w:szCs w:val="20"/>
              </w:rPr>
              <w:t>)</w:t>
            </w:r>
            <w:r w:rsidRPr="001A15CF">
              <w:rPr>
                <w:rFonts w:ascii="Cambria" w:hAnsi="Cambria"/>
                <w:color w:val="000000" w:themeColor="text1"/>
                <w:sz w:val="20"/>
                <w:szCs w:val="20"/>
              </w:rPr>
              <w:t>. </w:t>
            </w:r>
            <w:r w:rsidRPr="00C80239">
              <w:rPr>
                <w:rFonts w:ascii="Cambria" w:hAnsi="Cambria"/>
                <w:b/>
                <w:bCs/>
                <w:color w:val="000000" w:themeColor="text1"/>
                <w:sz w:val="20"/>
                <w:szCs w:val="20"/>
              </w:rPr>
              <w:t>. </w:t>
            </w:r>
            <w:r w:rsidRPr="00C80239">
              <w:rPr>
                <w:rFonts w:ascii="Cambria" w:hAnsi="Cambria"/>
                <w:sz w:val="20"/>
                <w:szCs w:val="20"/>
              </w:rPr>
              <w:t>Cuando el contribuyente, responsable, agente retenedor o declarante, no hubiere liquidado en su declaración las sanciones a que estuviere obligado o las hubiere liquidado incorrectamente la Administración las liquidará incrementadas en un treinta por ciento (30%). Cuando la sanción se imponga mediante resolución independiente procede el recurso de reconsideración.</w:t>
            </w:r>
          </w:p>
          <w:p w:rsidR="00C80239" w:rsidRPr="00C80239" w:rsidRDefault="00C80239" w:rsidP="00C80239">
            <w:pPr>
              <w:jc w:val="both"/>
              <w:rPr>
                <w:rFonts w:ascii="Cambria" w:hAnsi="Cambria"/>
                <w:color w:val="454545"/>
                <w:sz w:val="20"/>
                <w:szCs w:val="20"/>
              </w:rPr>
            </w:pPr>
            <w:r w:rsidRPr="00C80239">
              <w:rPr>
                <w:rFonts w:ascii="Cambria" w:hAnsi="Cambria"/>
                <w:color w:val="454545"/>
                <w:sz w:val="20"/>
                <w:szCs w:val="20"/>
              </w:rPr>
              <w:t xml:space="preserve"> </w:t>
            </w:r>
          </w:p>
          <w:p w:rsidR="00C80239" w:rsidRDefault="00C80239" w:rsidP="00C80239">
            <w:pPr>
              <w:jc w:val="both"/>
              <w:rPr>
                <w:rFonts w:ascii="Cambria" w:hAnsi="Cambria"/>
                <w:sz w:val="20"/>
                <w:szCs w:val="20"/>
              </w:rPr>
            </w:pPr>
            <w:r w:rsidRPr="00C80239">
              <w:rPr>
                <w:rFonts w:ascii="Cambria" w:hAnsi="Cambria"/>
                <w:sz w:val="20"/>
                <w:szCs w:val="20"/>
              </w:rPr>
              <w:t>El incremento de la sanción se reducirá a la mitad de su valor, si el contribuyente, responsable, agente retenedor o declarante, dentro del término establecido para interponer el recurso respectivo, acepta los hechos, renuncia al mismo y cancela el valor total de la sanción más el incremento reducido.</w:t>
            </w:r>
          </w:p>
          <w:p w:rsidR="00C80239" w:rsidRDefault="00C80239" w:rsidP="00C80239">
            <w:pPr>
              <w:jc w:val="both"/>
            </w:pPr>
          </w:p>
          <w:p w:rsidR="00C80239" w:rsidRPr="00C80239" w:rsidRDefault="00C80239" w:rsidP="00C80239">
            <w:pPr>
              <w:jc w:val="both"/>
              <w:rPr>
                <w:rFonts w:ascii="Cambria" w:hAnsi="Cambria"/>
                <w:sz w:val="20"/>
                <w:szCs w:val="20"/>
              </w:rPr>
            </w:pPr>
            <w:r w:rsidRPr="00C80239">
              <w:rPr>
                <w:rFonts w:ascii="Cambria" w:hAnsi="Cambria"/>
                <w:b/>
                <w:bCs/>
                <w:sz w:val="20"/>
                <w:szCs w:val="20"/>
                <w:highlight w:val="yellow"/>
              </w:rPr>
              <w:t xml:space="preserve">Parágrafo. </w:t>
            </w:r>
            <w:r w:rsidRPr="00C80239">
              <w:rPr>
                <w:rFonts w:ascii="Cambria" w:hAnsi="Cambria"/>
                <w:sz w:val="20"/>
                <w:szCs w:val="20"/>
                <w:highlight w:val="yellow"/>
              </w:rPr>
              <w:t>Lo dispuesto en este artículo también aplicará cuando el contribuyente no liquide o liquide incorrectamente las sanciones cuando no medie una declaración</w:t>
            </w:r>
            <w:r w:rsidRPr="00C80239">
              <w:rPr>
                <w:rFonts w:ascii="Cambria" w:hAnsi="Cambria"/>
                <w:sz w:val="20"/>
                <w:szCs w:val="20"/>
              </w:rPr>
              <w:t xml:space="preserve"> </w:t>
            </w:r>
          </w:p>
          <w:p w:rsidR="00C80239" w:rsidRPr="00C80239" w:rsidRDefault="00C80239" w:rsidP="00C80239">
            <w:pPr>
              <w:jc w:val="both"/>
              <w:rPr>
                <w:rFonts w:ascii="Cambria" w:hAnsi="Cambria"/>
                <w:b/>
                <w:bCs/>
                <w:color w:val="000000" w:themeColor="text1"/>
                <w:sz w:val="20"/>
                <w:szCs w:val="20"/>
              </w:rPr>
            </w:pPr>
          </w:p>
        </w:tc>
      </w:tr>
      <w:tr w:rsidR="00C80239" w:rsidTr="0059378C">
        <w:tc>
          <w:tcPr>
            <w:tcW w:w="4958" w:type="dxa"/>
          </w:tcPr>
          <w:p w:rsidR="009C6591" w:rsidRPr="00852E78" w:rsidRDefault="009C6591" w:rsidP="009C6591">
            <w:pPr>
              <w:jc w:val="both"/>
              <w:rPr>
                <w:rFonts w:ascii="Cambria" w:hAnsi="Cambria"/>
                <w:color w:val="454545"/>
                <w:sz w:val="20"/>
                <w:szCs w:val="20"/>
                <w:highlight w:val="yellow"/>
              </w:rPr>
            </w:pPr>
            <w:bookmarkStart w:id="44" w:name="689-3"/>
            <w:r w:rsidRPr="00852E78">
              <w:rPr>
                <w:rStyle w:val="baj"/>
                <w:rFonts w:ascii="Cambria" w:hAnsi="Cambria"/>
                <w:b/>
                <w:bCs/>
                <w:color w:val="000000" w:themeColor="text1"/>
                <w:spacing w:val="2"/>
                <w:sz w:val="20"/>
                <w:szCs w:val="20"/>
                <w:highlight w:val="yellow"/>
              </w:rPr>
              <w:lastRenderedPageBreak/>
              <w:t>Artículo 689-3. Beneficio de la auditoría</w:t>
            </w:r>
            <w:r w:rsidRPr="00852E78">
              <w:rPr>
                <w:rStyle w:val="baj"/>
                <w:rFonts w:ascii="Cambria" w:hAnsi="Cambria"/>
                <w:color w:val="00A9E0"/>
                <w:spacing w:val="2"/>
                <w:sz w:val="20"/>
                <w:szCs w:val="20"/>
                <w:highlight w:val="yellow"/>
                <w:u w:val="single"/>
              </w:rPr>
              <w:t>.</w:t>
            </w:r>
            <w:bookmarkEnd w:id="44"/>
            <w:r w:rsidRPr="00852E78">
              <w:rPr>
                <w:rStyle w:val="baj"/>
                <w:rFonts w:ascii="Cambria" w:hAnsi="Cambria"/>
                <w:b/>
                <w:bCs/>
                <w:color w:val="343536"/>
                <w:spacing w:val="2"/>
                <w:sz w:val="20"/>
                <w:szCs w:val="20"/>
                <w:highlight w:val="yellow"/>
              </w:rPr>
              <w:t> </w:t>
            </w:r>
            <w:r w:rsidRPr="00852E78">
              <w:rPr>
                <w:rFonts w:ascii="Cambria" w:hAnsi="Cambria"/>
                <w:sz w:val="20"/>
                <w:szCs w:val="20"/>
                <w:highlight w:val="yellow"/>
              </w:rPr>
              <w:t xml:space="preserve"> Para los periodos gravables 2022, 2023 2024, 2025, 2026, la liquidación privada de los contribuyentes del impuesto sobre la renta y complementarios que incrementen su impuesto neto de renta en por lo menos un porcentaje mínimo del treinta y cinco por ciento (35%), en relación con el impuesto neto de renta del año inmediatamente anterior, quedará en firme si dentro de los seis (6) meses siguientes a la fecha de su presentación no se hubiere notificado emplazamiento para corregir o requerimiento especial o emplazamiento especial o liquidación provisional, siempre que la declaración sea debidamente presentada en forma oportuna y el pago total se realice en los plazos que para tal efecto fije el Gobierno nacional.</w:t>
            </w:r>
          </w:p>
          <w:p w:rsidR="009C6591" w:rsidRPr="00852E78" w:rsidRDefault="009C6591" w:rsidP="009C6591">
            <w:pPr>
              <w:jc w:val="both"/>
              <w:rPr>
                <w:rFonts w:ascii="Cambria" w:hAnsi="Cambria"/>
                <w:color w:val="454545"/>
                <w:sz w:val="20"/>
                <w:szCs w:val="20"/>
                <w:highlight w:val="yellow"/>
              </w:rPr>
            </w:pPr>
            <w:r w:rsidRPr="00852E78">
              <w:rPr>
                <w:rFonts w:ascii="Cambria" w:hAnsi="Cambria"/>
                <w:color w:val="454545"/>
                <w:sz w:val="20"/>
                <w:szCs w:val="20"/>
                <w:highlight w:val="yellow"/>
              </w:rPr>
              <w:t xml:space="preserve"> </w:t>
            </w:r>
          </w:p>
          <w:p w:rsidR="009C6591" w:rsidRPr="00852E78" w:rsidRDefault="009C6591" w:rsidP="009C6591">
            <w:pPr>
              <w:jc w:val="both"/>
              <w:rPr>
                <w:rFonts w:ascii="Cambria" w:hAnsi="Cambria"/>
                <w:sz w:val="20"/>
                <w:szCs w:val="20"/>
                <w:highlight w:val="yellow"/>
              </w:rPr>
            </w:pPr>
            <w:r w:rsidRPr="00852E78">
              <w:rPr>
                <w:rFonts w:ascii="Cambria" w:hAnsi="Cambria"/>
                <w:sz w:val="20"/>
                <w:szCs w:val="20"/>
                <w:highlight w:val="yellow"/>
              </w:rPr>
              <w:t>Si el incremento del impuesto neto de renta es de al menos un porcentaje mínimo del veinticinco por ciento (25%), en relación con el impuesto neto de renta del año inmediatamente anterior, la declaración de renta quedará en firme si dentro de los doce (12) meses siguientes a la fecha de su presentación no se hubiere notificado emplazamiento para corregir o requerimiento especial o emplazamiento especial o liquidación provisional, siempre que la declaración sea debidamente presentada en forma oportuna y el pago total se realice en los plazos que para tal efecto fije el Gobierno nacional.</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Fonts w:ascii="Cambria" w:hAnsi="Cambria"/>
                <w:sz w:val="20"/>
                <w:szCs w:val="20"/>
                <w:highlight w:val="yellow"/>
              </w:rPr>
              <w:t>Esta norma no es aplicable a los contribuyentes que gocen de beneficios tributarios en razón a su ubicación en una zona geográfica determinada.</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Fonts w:ascii="Cambria" w:hAnsi="Cambria"/>
                <w:sz w:val="20"/>
                <w:szCs w:val="20"/>
                <w:highlight w:val="yellow"/>
              </w:rPr>
              <w:lastRenderedPageBreak/>
              <w:t xml:space="preserve">Cuando la declaración objeto de beneficio de auditoría arroje una pérdida fiscal, la Administración Tributaria podrá ejercer las facultades de fiscalización para determinar la procedencia o improcedencia de la misma y, por ende, su compensación en años posteriores. Esta facultad se tendrá no obstante haya transcurrido el período de </w:t>
            </w:r>
            <w:proofErr w:type="spellStart"/>
            <w:r w:rsidRPr="00852E78">
              <w:rPr>
                <w:rFonts w:ascii="Cambria" w:hAnsi="Cambria"/>
                <w:sz w:val="20"/>
                <w:szCs w:val="20"/>
                <w:highlight w:val="yellow"/>
              </w:rPr>
              <w:t>que</w:t>
            </w:r>
            <w:proofErr w:type="spellEnd"/>
            <w:r w:rsidRPr="00852E78">
              <w:rPr>
                <w:rFonts w:ascii="Cambria" w:hAnsi="Cambria"/>
                <w:sz w:val="20"/>
                <w:szCs w:val="20"/>
                <w:highlight w:val="yellow"/>
              </w:rPr>
              <w:t xml:space="preserve"> trata el presente artículo.</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Fonts w:ascii="Cambria" w:hAnsi="Cambria"/>
                <w:sz w:val="20"/>
                <w:szCs w:val="20"/>
                <w:highlight w:val="yellow"/>
              </w:rPr>
              <w:t>En el caso de los contribuyentes que en los años anteriores al periodo en que pretende acogerse al beneficio de auditoría, no hubieren presentado declaración de renta y complementarios, y cumplan con dicha obligación dentro de los plazos que señale el Gobierno nacional para presentar las declaraciones correspondientes al período gravable 2022, les serán aplicables los términos de firmeza de la liquidación prevista en este artículo, para lo cual deberán incrementar el impuesto neto de renta a cargo por dichos períodos en los porcentajes de que trata el presente artículo.</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Fonts w:ascii="Cambria" w:hAnsi="Cambria"/>
                <w:sz w:val="20"/>
                <w:szCs w:val="20"/>
                <w:highlight w:val="yellow"/>
              </w:rPr>
              <w:t>Cuando se demuestre que las retenciones en la fuente declaradas son inexistentes, no procederá el beneficio de auditoría.</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Style w:val="baj"/>
                <w:rFonts w:ascii="Cambria" w:hAnsi="Cambria"/>
                <w:b/>
                <w:bCs/>
                <w:color w:val="343536"/>
                <w:spacing w:val="2"/>
                <w:sz w:val="20"/>
                <w:szCs w:val="20"/>
                <w:highlight w:val="yellow"/>
              </w:rPr>
              <w:t>PARÁGRAFO 1o.</w:t>
            </w:r>
            <w:r w:rsidRPr="00852E78">
              <w:rPr>
                <w:rFonts w:ascii="Cambria" w:hAnsi="Cambria"/>
                <w:sz w:val="20"/>
                <w:szCs w:val="20"/>
                <w:highlight w:val="yellow"/>
              </w:rPr>
              <w:t> Las declaraciones de corrección y solicitudes de corrección que se presenten antes del término de firmeza de que trata el presente artículo no afectarán la validez del beneficio de auditoría, siempre y cuando en la declaración inicial el contribuyente cumpla con los requisitos de presentación oportuna, incremento del impuesto neto sobre la renta, pago total, y en las correcciones dichos requisitos se mantengan.</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Style w:val="baj"/>
                <w:rFonts w:ascii="Cambria" w:hAnsi="Cambria"/>
                <w:b/>
                <w:bCs/>
                <w:color w:val="343536"/>
                <w:spacing w:val="2"/>
                <w:sz w:val="20"/>
                <w:szCs w:val="20"/>
                <w:highlight w:val="yellow"/>
              </w:rPr>
              <w:t>PARÁGRAFO 2o.</w:t>
            </w:r>
            <w:r w:rsidRPr="00852E78">
              <w:rPr>
                <w:rFonts w:ascii="Cambria" w:hAnsi="Cambria"/>
                <w:sz w:val="20"/>
                <w:szCs w:val="20"/>
                <w:highlight w:val="yellow"/>
              </w:rPr>
              <w:t> Cuando el impuesto neto sobre la renta de la declaración correspondiente al año gravable frente al cual debe cumplirse el requisito del incremento sea inferior a 71 UVT, no procederá la aplicación del beneficio de auditoría.</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Style w:val="baj"/>
                <w:rFonts w:ascii="Cambria" w:hAnsi="Cambria"/>
                <w:b/>
                <w:bCs/>
                <w:color w:val="343536"/>
                <w:spacing w:val="2"/>
                <w:sz w:val="20"/>
                <w:szCs w:val="20"/>
                <w:highlight w:val="yellow"/>
              </w:rPr>
              <w:t>PARÁGRAFO 3o.</w:t>
            </w:r>
            <w:r w:rsidRPr="00852E78">
              <w:rPr>
                <w:rFonts w:ascii="Cambria" w:hAnsi="Cambria"/>
                <w:sz w:val="20"/>
                <w:szCs w:val="20"/>
                <w:highlight w:val="yellow"/>
              </w:rPr>
              <w:t> Cuando se trate de declaraciones que registren saldo a favor, el término para solicitar la devolución y/o compensación será el previsto en este artículo, para la firmeza de la declaración.</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Style w:val="baj"/>
                <w:rFonts w:ascii="Cambria" w:hAnsi="Cambria"/>
                <w:b/>
                <w:bCs/>
                <w:color w:val="343536"/>
                <w:spacing w:val="2"/>
                <w:sz w:val="20"/>
                <w:szCs w:val="20"/>
                <w:highlight w:val="yellow"/>
              </w:rPr>
              <w:t>PARÁGRAFO 4o.</w:t>
            </w:r>
            <w:r w:rsidRPr="00852E78">
              <w:rPr>
                <w:rFonts w:ascii="Cambria" w:hAnsi="Cambria"/>
                <w:sz w:val="20"/>
                <w:szCs w:val="20"/>
                <w:highlight w:val="yellow"/>
              </w:rPr>
              <w:t> Los términos de firmeza previstos en el presente artículo no serán aplicables en relación con las declaraciones privadas del impuesto sobre las ventas y de retención en la fuente por los períodos comprendidos en los años 2022 y 2023, las cuales se regirán en esta materia por lo previsto en los artículos </w:t>
            </w:r>
            <w:r w:rsidRPr="00852E78">
              <w:rPr>
                <w:rFonts w:ascii="Cambria" w:hAnsi="Cambria"/>
                <w:spacing w:val="2"/>
                <w:sz w:val="20"/>
                <w:szCs w:val="20"/>
                <w:highlight w:val="yellow"/>
              </w:rPr>
              <w:t>705</w:t>
            </w:r>
            <w:r w:rsidRPr="00852E78">
              <w:rPr>
                <w:rFonts w:ascii="Cambria" w:hAnsi="Cambria"/>
                <w:sz w:val="20"/>
                <w:szCs w:val="20"/>
                <w:highlight w:val="yellow"/>
              </w:rPr>
              <w:t> y </w:t>
            </w:r>
            <w:r w:rsidRPr="00852E78">
              <w:rPr>
                <w:rFonts w:ascii="Cambria" w:hAnsi="Cambria"/>
                <w:spacing w:val="2"/>
                <w:sz w:val="20"/>
                <w:szCs w:val="20"/>
                <w:highlight w:val="yellow"/>
              </w:rPr>
              <w:t>714</w:t>
            </w:r>
            <w:r w:rsidRPr="00852E78">
              <w:rPr>
                <w:rFonts w:ascii="Cambria" w:hAnsi="Cambria"/>
                <w:sz w:val="20"/>
                <w:szCs w:val="20"/>
                <w:highlight w:val="yellow"/>
              </w:rPr>
              <w:t> del Estatuto Tributario.</w:t>
            </w:r>
          </w:p>
          <w:p w:rsidR="009C6591" w:rsidRPr="00852E78" w:rsidRDefault="009C6591" w:rsidP="009C6591">
            <w:pPr>
              <w:jc w:val="both"/>
              <w:rPr>
                <w:rFonts w:ascii="Cambria" w:hAnsi="Cambria"/>
                <w:sz w:val="20"/>
                <w:szCs w:val="20"/>
                <w:highlight w:val="yellow"/>
              </w:rPr>
            </w:pPr>
          </w:p>
          <w:p w:rsidR="009C6591" w:rsidRPr="00852E78" w:rsidRDefault="009C6591" w:rsidP="009C6591">
            <w:pPr>
              <w:jc w:val="both"/>
              <w:rPr>
                <w:rFonts w:ascii="Cambria" w:hAnsi="Cambria"/>
                <w:sz w:val="20"/>
                <w:szCs w:val="20"/>
                <w:highlight w:val="yellow"/>
              </w:rPr>
            </w:pPr>
            <w:r w:rsidRPr="00852E78">
              <w:rPr>
                <w:rStyle w:val="baj"/>
                <w:rFonts w:ascii="Cambria" w:hAnsi="Cambria"/>
                <w:b/>
                <w:bCs/>
                <w:color w:val="343536"/>
                <w:spacing w:val="2"/>
                <w:sz w:val="20"/>
                <w:szCs w:val="20"/>
                <w:highlight w:val="yellow"/>
              </w:rPr>
              <w:lastRenderedPageBreak/>
              <w:t>PARÁGRAFO 5o.</w:t>
            </w:r>
            <w:r w:rsidRPr="00852E78">
              <w:rPr>
                <w:rFonts w:ascii="Cambria" w:hAnsi="Cambria"/>
                <w:sz w:val="20"/>
                <w:szCs w:val="20"/>
                <w:highlight w:val="yellow"/>
              </w:rPr>
              <w:t> Las disposiciones consagradas en el artículo </w:t>
            </w:r>
            <w:r w:rsidRPr="00852E78">
              <w:rPr>
                <w:rFonts w:ascii="Cambria" w:hAnsi="Cambria"/>
                <w:spacing w:val="2"/>
                <w:sz w:val="20"/>
                <w:szCs w:val="20"/>
                <w:highlight w:val="yellow"/>
              </w:rPr>
              <w:t>123</w:t>
            </w:r>
            <w:r w:rsidRPr="00852E78">
              <w:rPr>
                <w:rFonts w:ascii="Cambria" w:hAnsi="Cambria"/>
                <w:sz w:val="20"/>
                <w:szCs w:val="20"/>
                <w:highlight w:val="yellow"/>
              </w:rPr>
              <w:t> de la Ley 2010 de 2019 surtirán los efectos allí dispuestos para los contribuyentes que se hayan acogido al beneficio de auditoría por los años gravables 2020 y 2021.</w:t>
            </w:r>
          </w:p>
          <w:p w:rsidR="00C80239" w:rsidRPr="00852E78" w:rsidRDefault="00C80239" w:rsidP="009C6591">
            <w:pPr>
              <w:jc w:val="both"/>
              <w:rPr>
                <w:rFonts w:ascii="Cambria" w:hAnsi="Cambria"/>
                <w:b/>
                <w:bCs/>
                <w:color w:val="000000" w:themeColor="text1"/>
                <w:sz w:val="20"/>
                <w:szCs w:val="20"/>
                <w:highlight w:val="yellow"/>
              </w:rPr>
            </w:pPr>
          </w:p>
        </w:tc>
        <w:tc>
          <w:tcPr>
            <w:tcW w:w="4865" w:type="dxa"/>
          </w:tcPr>
          <w:p w:rsidR="00C80239" w:rsidRPr="005F076B" w:rsidRDefault="009C6591" w:rsidP="00C80239">
            <w:pPr>
              <w:jc w:val="both"/>
              <w:rPr>
                <w:rFonts w:ascii="Cambria" w:hAnsi="Cambria"/>
                <w:b/>
                <w:bCs/>
                <w:color w:val="000000" w:themeColor="text1"/>
                <w:sz w:val="20"/>
                <w:szCs w:val="20"/>
              </w:rPr>
            </w:pPr>
            <w:r w:rsidRPr="009C6591">
              <w:rPr>
                <w:rFonts w:ascii="Cambria" w:hAnsi="Cambria"/>
                <w:b/>
                <w:bCs/>
                <w:color w:val="FF0000"/>
                <w:sz w:val="20"/>
                <w:szCs w:val="20"/>
              </w:rPr>
              <w:lastRenderedPageBreak/>
              <w:t xml:space="preserve">Derogado con artículo 95 </w:t>
            </w:r>
            <w:r w:rsidR="00FB60A2">
              <w:rPr>
                <w:rFonts w:ascii="Cambria" w:hAnsi="Cambria"/>
                <w:b/>
                <w:bCs/>
                <w:color w:val="FF0000"/>
                <w:sz w:val="20"/>
                <w:szCs w:val="20"/>
              </w:rPr>
              <w:t>proyecto de Ley de septiembre de 2025</w:t>
            </w:r>
            <w:r w:rsidRPr="009C6591">
              <w:rPr>
                <w:rFonts w:ascii="Cambria" w:hAnsi="Cambria"/>
                <w:b/>
                <w:bCs/>
                <w:color w:val="FF0000"/>
                <w:sz w:val="20"/>
                <w:szCs w:val="20"/>
              </w:rPr>
              <w:t xml:space="preserve"> (Nota: en dicho artículo 95 se menciona que se deroga al “artículo 69 de la Ley 2294 de 2023”, el cual fue el que prolongó por los años 2024 a 2026 la aplicación de la norma del artículo 689-3 del ET</w:t>
            </w:r>
            <w:r>
              <w:rPr>
                <w:rFonts w:ascii="Cambria" w:hAnsi="Cambria"/>
                <w:b/>
                <w:bCs/>
                <w:color w:val="000000" w:themeColor="text1"/>
                <w:sz w:val="20"/>
                <w:szCs w:val="20"/>
              </w:rPr>
              <w:t>)</w:t>
            </w:r>
          </w:p>
        </w:tc>
      </w:tr>
      <w:tr w:rsidR="009C6591" w:rsidTr="0059378C">
        <w:tc>
          <w:tcPr>
            <w:tcW w:w="4958" w:type="dxa"/>
          </w:tcPr>
          <w:p w:rsidR="009C6591" w:rsidRDefault="009C6591" w:rsidP="009C6591">
            <w:pPr>
              <w:jc w:val="both"/>
              <w:rPr>
                <w:rFonts w:ascii="Cambria" w:hAnsi="Cambria"/>
                <w:sz w:val="20"/>
                <w:szCs w:val="20"/>
              </w:rPr>
            </w:pPr>
            <w:bookmarkStart w:id="45" w:name="764-1"/>
            <w:r w:rsidRPr="009C6591">
              <w:rPr>
                <w:rFonts w:ascii="Cambria" w:hAnsi="Cambria"/>
                <w:b/>
                <w:bCs/>
                <w:color w:val="000000" w:themeColor="text1"/>
                <w:sz w:val="20"/>
                <w:szCs w:val="20"/>
              </w:rPr>
              <w:lastRenderedPageBreak/>
              <w:t>Artículo 764-1. </w:t>
            </w:r>
            <w:r w:rsidRPr="009C6591">
              <w:rPr>
                <w:rStyle w:val="iaj"/>
                <w:rFonts w:ascii="Cambria" w:hAnsi="Cambria"/>
                <w:b/>
                <w:bCs/>
                <w:color w:val="000000" w:themeColor="text1"/>
                <w:spacing w:val="2"/>
                <w:sz w:val="20"/>
                <w:szCs w:val="20"/>
              </w:rPr>
              <w:t>Procedimiento para proferir, aceptar, rechazar o modificar la liquidación provisional</w:t>
            </w:r>
            <w:r w:rsidRPr="009C6591">
              <w:rPr>
                <w:rFonts w:ascii="Cambria" w:hAnsi="Cambria"/>
                <w:b/>
                <w:bCs/>
                <w:color w:val="000000" w:themeColor="text1"/>
                <w:sz w:val="20"/>
                <w:szCs w:val="20"/>
              </w:rPr>
              <w:t>.</w:t>
            </w:r>
            <w:bookmarkEnd w:id="45"/>
            <w:r w:rsidRPr="009C6591">
              <w:rPr>
                <w:rFonts w:ascii="Cambria" w:hAnsi="Cambria"/>
                <w:b/>
                <w:bCs/>
                <w:color w:val="000000" w:themeColor="text1"/>
                <w:sz w:val="20"/>
                <w:szCs w:val="20"/>
              </w:rPr>
              <w:t> </w:t>
            </w:r>
            <w:r w:rsidRPr="009C6591">
              <w:rPr>
                <w:rFonts w:ascii="Cambria" w:hAnsi="Cambria"/>
                <w:sz w:val="20"/>
                <w:szCs w:val="20"/>
              </w:rPr>
              <w:t xml:space="preserve"> La Liquidación Provisional deberá ser proferida en las siguientes oportunidades:</w:t>
            </w:r>
          </w:p>
          <w:p w:rsidR="009C6591" w:rsidRDefault="009C6591" w:rsidP="009C6591">
            <w:pPr>
              <w:jc w:val="both"/>
              <w:rPr>
                <w:rFonts w:ascii="Cambria" w:hAnsi="Cambria"/>
                <w:sz w:val="20"/>
                <w:szCs w:val="20"/>
              </w:rPr>
            </w:pP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a) Dentro del término de firmeza de la declaración tributaria, cuando se trate de la modificación de la misma;</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b) Dentro del término de cinco (5) años contados a partir de la fecha del vencimiento del plazo para declarar, cuando se trate de obligados que no han cumplido con el deber formal de declarar;</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c) Dentro del término previsto para imponer sanciones, cuando se trate del incumplimiento de las obligaciones distintas al deber formal de declarar.</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Una vez proferida la Liquidación Provisional, el contribuyente tendrá un (1) mes contado a partir de su notificación para aceptarla, rechazarla o solicitar su modificación por una única vez, en este último caso deberá manifestar los motivos de inconformidad en un memorial dirigido a la Administración Tributaria.</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Cuando se solicite la modificación de la Liquidación Provisional, la Administración Tributaria deberá pronunciarse dentro de los dos (2) meses siguientes al agotamiento del término que tiene el contribuyente para proponer la modificación, ya sea profiriendo una nueva Liquidación Provisional o rechazando la solicitud de modificación.</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El contribuyente tendrá un (1) mes para aceptar o rechazar la nueva Liquidación Provisional, contado a partir de su notificación.</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En todos los casos, si el contribuyente opta por aceptar la Liquidación Provisional, deberá hacerlo en forma total.</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Style w:val="baj"/>
                <w:rFonts w:ascii="Cambria" w:hAnsi="Cambria"/>
                <w:b/>
                <w:bCs/>
                <w:color w:val="343536"/>
                <w:spacing w:val="2"/>
                <w:sz w:val="20"/>
                <w:szCs w:val="20"/>
              </w:rPr>
              <w:t>PARÁGRAFO 1o.</w:t>
            </w:r>
            <w:r w:rsidRPr="009C6591">
              <w:rPr>
                <w:rFonts w:ascii="Cambria" w:hAnsi="Cambria"/>
                <w:sz w:val="20"/>
                <w:szCs w:val="20"/>
              </w:rPr>
              <w:t> La Liquidación Provisional se proferirá por una sola vez, sin perjuicio de que la Administración Tributaria pueda proferir una nueva con ocasión de la modificación solicitada por el contribuyente.</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color w:val="454545"/>
                <w:sz w:val="20"/>
                <w:szCs w:val="20"/>
              </w:rPr>
            </w:pPr>
            <w:r w:rsidRPr="009C6591">
              <w:rPr>
                <w:rFonts w:ascii="Cambria" w:hAnsi="Cambria"/>
                <w:sz w:val="20"/>
                <w:szCs w:val="20"/>
              </w:rPr>
              <w:lastRenderedPageBreak/>
              <w:t>En ningún caso se podrá proferir Liquidación Provisional de manera concomitante con el requerimiento especial, el pliego de cargos o el emplazamiento previo por no declarar.</w:t>
            </w:r>
          </w:p>
          <w:p w:rsidR="009C6591" w:rsidRP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Default="009C6591" w:rsidP="009C6591">
            <w:pPr>
              <w:jc w:val="both"/>
              <w:rPr>
                <w:rFonts w:ascii="Cambria" w:hAnsi="Cambria"/>
                <w:color w:val="454545"/>
                <w:sz w:val="20"/>
                <w:szCs w:val="20"/>
              </w:rPr>
            </w:pPr>
            <w:r w:rsidRPr="009C6591">
              <w:rPr>
                <w:rStyle w:val="baj"/>
                <w:rFonts w:ascii="Cambria" w:hAnsi="Cambria"/>
                <w:b/>
                <w:bCs/>
                <w:color w:val="343536"/>
                <w:spacing w:val="2"/>
                <w:sz w:val="20"/>
                <w:szCs w:val="20"/>
              </w:rPr>
              <w:t>PARÁGRAFO 2o.</w:t>
            </w:r>
            <w:r w:rsidRPr="009C6591">
              <w:rPr>
                <w:rFonts w:ascii="Cambria" w:hAnsi="Cambria"/>
                <w:sz w:val="20"/>
                <w:szCs w:val="20"/>
              </w:rPr>
              <w:t> La Liquidación Provisional se considera aceptada cuando el contribuyente corrija la correspondiente declaración tributaria o presente la misma, en los términos dispuestos en la Liquidación Provisional y atendiendo las formas y procedimientos señalados en el Estatuto Tributario para la presentación y/o corrección de las declaraciones tributarias.</w:t>
            </w:r>
          </w:p>
          <w:p w:rsidR="009C6591" w:rsidRP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Default="009C6591" w:rsidP="009C6591">
            <w:pPr>
              <w:jc w:val="both"/>
              <w:rPr>
                <w:rFonts w:ascii="Cambria" w:hAnsi="Cambria"/>
                <w:color w:val="454545"/>
                <w:sz w:val="20"/>
                <w:szCs w:val="20"/>
              </w:rPr>
            </w:pPr>
            <w:r w:rsidRPr="009C6591">
              <w:rPr>
                <w:rFonts w:ascii="Cambria" w:hAnsi="Cambria"/>
                <w:sz w:val="20"/>
                <w:szCs w:val="20"/>
              </w:rPr>
              <w:t>De igual manera se considera aceptada por el contribuyente, cuando este no se pronuncie dentro de los términos previstos en este artículo sobre la propuesta de Liquidación Provisional, en cuyo caso la Administración Tributaria podrá iniciar el procedimiento administrativo de cobro.</w:t>
            </w:r>
          </w:p>
          <w:p w:rsid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Pr="009C6591" w:rsidRDefault="009C6591" w:rsidP="009C6591">
            <w:pPr>
              <w:jc w:val="both"/>
              <w:rPr>
                <w:rFonts w:ascii="Cambria" w:hAnsi="Cambria"/>
                <w:color w:val="454545"/>
                <w:sz w:val="20"/>
                <w:szCs w:val="20"/>
              </w:rPr>
            </w:pPr>
          </w:p>
          <w:p w:rsidR="009C6591" w:rsidRPr="009C6591" w:rsidRDefault="009C6591" w:rsidP="009C6591">
            <w:pPr>
              <w:jc w:val="both"/>
              <w:rPr>
                <w:rFonts w:ascii="Cambria" w:hAnsi="Cambria"/>
                <w:sz w:val="20"/>
                <w:szCs w:val="20"/>
              </w:rPr>
            </w:pPr>
            <w:r w:rsidRPr="009C6591">
              <w:rPr>
                <w:rFonts w:ascii="Cambria" w:hAnsi="Cambria"/>
                <w:sz w:val="20"/>
                <w:szCs w:val="20"/>
              </w:rPr>
              <w:t xml:space="preserve">Cuando se trate del incumplimiento de otras obligaciones formales, distintas a la presentación de la declaración tributaria, se entenderá aceptada la Liquidación Provisional cuando se subsane el hecho sancionable y se pague o se acuerde el pago de la sanción impuesta, conforme las condiciones y requisitos establecidos en el Estatuto Tributario para la obligación formal que corresponda. En </w:t>
            </w:r>
            <w:r w:rsidRPr="00545769">
              <w:rPr>
                <w:rFonts w:ascii="Cambria" w:hAnsi="Cambria"/>
                <w:sz w:val="20"/>
                <w:szCs w:val="20"/>
                <w:highlight w:val="yellow"/>
              </w:rPr>
              <w:t>este caso</w:t>
            </w:r>
            <w:r w:rsidRPr="009C6591">
              <w:rPr>
                <w:rFonts w:ascii="Cambria" w:hAnsi="Cambria"/>
                <w:sz w:val="20"/>
                <w:szCs w:val="20"/>
              </w:rPr>
              <w:t>, la Liquidación Provisional constituye título ejecutivo de conformidad con lo establecido en el artículo </w:t>
            </w:r>
            <w:r w:rsidRPr="009C6591">
              <w:rPr>
                <w:rFonts w:ascii="Cambria" w:hAnsi="Cambria"/>
                <w:spacing w:val="2"/>
                <w:sz w:val="20"/>
                <w:szCs w:val="20"/>
              </w:rPr>
              <w:t>828</w:t>
            </w:r>
            <w:r w:rsidRPr="009C6591">
              <w:rPr>
                <w:rFonts w:ascii="Cambria" w:hAnsi="Cambria"/>
                <w:sz w:val="20"/>
                <w:szCs w:val="20"/>
              </w:rPr>
              <w:t> del mismo Estatuto.</w:t>
            </w:r>
          </w:p>
          <w:p w:rsidR="009C6591" w:rsidRPr="009C6591" w:rsidRDefault="009C6591" w:rsidP="009C6591">
            <w:pPr>
              <w:jc w:val="both"/>
              <w:rPr>
                <w:rFonts w:ascii="Cambria" w:hAnsi="Cambria"/>
                <w:b/>
                <w:bCs/>
                <w:color w:val="000000" w:themeColor="text1"/>
                <w:sz w:val="20"/>
                <w:szCs w:val="20"/>
              </w:rPr>
            </w:pPr>
          </w:p>
        </w:tc>
        <w:tc>
          <w:tcPr>
            <w:tcW w:w="4865" w:type="dxa"/>
          </w:tcPr>
          <w:p w:rsidR="009C6591" w:rsidRDefault="009C6591" w:rsidP="009C6591">
            <w:pPr>
              <w:jc w:val="both"/>
              <w:rPr>
                <w:rFonts w:ascii="Cambria" w:hAnsi="Cambria"/>
                <w:sz w:val="20"/>
                <w:szCs w:val="20"/>
              </w:rPr>
            </w:pPr>
            <w:r w:rsidRPr="009C6591">
              <w:rPr>
                <w:rFonts w:ascii="Cambria" w:hAnsi="Cambria"/>
                <w:b/>
                <w:bCs/>
                <w:color w:val="000000" w:themeColor="text1"/>
                <w:sz w:val="20"/>
                <w:szCs w:val="20"/>
              </w:rPr>
              <w:lastRenderedPageBreak/>
              <w:t>Artículo 764-1. </w:t>
            </w:r>
            <w:r w:rsidRPr="009C6591">
              <w:rPr>
                <w:rStyle w:val="iaj"/>
                <w:rFonts w:ascii="Cambria" w:hAnsi="Cambria"/>
                <w:b/>
                <w:bCs/>
                <w:color w:val="000000" w:themeColor="text1"/>
                <w:spacing w:val="2"/>
                <w:sz w:val="20"/>
                <w:szCs w:val="20"/>
              </w:rPr>
              <w:t>Procedimiento para proferir, aceptar, rechazar o modificar la liquidación provisional</w:t>
            </w:r>
            <w:r>
              <w:rPr>
                <w:rStyle w:val="iaj"/>
                <w:rFonts w:ascii="Cambria" w:hAnsi="Cambria"/>
                <w:b/>
                <w:bCs/>
                <w:color w:val="000000" w:themeColor="text1"/>
                <w:spacing w:val="2"/>
                <w:sz w:val="20"/>
                <w:szCs w:val="20"/>
              </w:rPr>
              <w:t xml:space="preserve"> </w:t>
            </w:r>
            <w:r w:rsidRPr="001A15CF">
              <w:rPr>
                <w:rStyle w:val="iaj"/>
                <w:rFonts w:ascii="Cambria" w:hAnsi="Cambria"/>
                <w:b/>
                <w:bCs/>
                <w:color w:val="FF0000"/>
                <w:spacing w:val="2"/>
                <w:sz w:val="20"/>
                <w:szCs w:val="20"/>
              </w:rPr>
              <w:t>(modificado</w:t>
            </w:r>
            <w:r w:rsidRPr="001A15CF">
              <w:rPr>
                <w:rStyle w:val="iaj"/>
                <w:rFonts w:ascii="Cambria" w:hAnsi="Cambria"/>
                <w:color w:val="FF0000"/>
                <w:spacing w:val="2"/>
                <w:sz w:val="20"/>
                <w:szCs w:val="20"/>
              </w:rPr>
              <w:t xml:space="preserve"> </w:t>
            </w:r>
            <w:r w:rsidRPr="001A15CF">
              <w:rPr>
                <w:rStyle w:val="iaj"/>
                <w:rFonts w:ascii="Cambria" w:hAnsi="Cambria"/>
                <w:b/>
                <w:bCs/>
                <w:color w:val="FF0000"/>
                <w:spacing w:val="2"/>
                <w:sz w:val="20"/>
                <w:szCs w:val="20"/>
              </w:rPr>
              <w:t>con artículo 7</w:t>
            </w:r>
            <w:r>
              <w:rPr>
                <w:rStyle w:val="iaj"/>
                <w:rFonts w:ascii="Cambria" w:hAnsi="Cambria"/>
                <w:b/>
                <w:bCs/>
                <w:color w:val="FF0000"/>
                <w:spacing w:val="2"/>
                <w:sz w:val="20"/>
                <w:szCs w:val="20"/>
              </w:rPr>
              <w:t>6</w:t>
            </w:r>
            <w:r w:rsidRPr="001A15CF">
              <w:rPr>
                <w:rStyle w:val="iaj"/>
                <w:rFonts w:ascii="Cambria" w:hAnsi="Cambria"/>
                <w:b/>
                <w:bCs/>
                <w:color w:val="FF0000"/>
                <w:spacing w:val="2"/>
                <w:sz w:val="20"/>
                <w:szCs w:val="20"/>
              </w:rPr>
              <w:t xml:space="preserve"> proyecto de </w:t>
            </w:r>
            <w:r w:rsidR="00852E78">
              <w:rPr>
                <w:rStyle w:val="iaj"/>
                <w:rFonts w:ascii="Cambria" w:hAnsi="Cambria"/>
                <w:b/>
                <w:bCs/>
                <w:color w:val="FF0000"/>
                <w:spacing w:val="2"/>
                <w:sz w:val="20"/>
                <w:szCs w:val="20"/>
              </w:rPr>
              <w:t>Ley septiembre de 2025</w:t>
            </w:r>
            <w:r w:rsidRPr="001A15CF">
              <w:rPr>
                <w:rStyle w:val="iaj"/>
                <w:rFonts w:ascii="Cambria" w:hAnsi="Cambria"/>
                <w:b/>
                <w:bCs/>
                <w:color w:val="FF0000"/>
                <w:spacing w:val="2"/>
                <w:sz w:val="20"/>
                <w:szCs w:val="20"/>
              </w:rPr>
              <w:t>)</w:t>
            </w:r>
            <w:r w:rsidRPr="009C6591">
              <w:rPr>
                <w:rFonts w:ascii="Cambria" w:hAnsi="Cambria"/>
                <w:b/>
                <w:bCs/>
                <w:color w:val="000000" w:themeColor="text1"/>
                <w:sz w:val="20"/>
                <w:szCs w:val="20"/>
              </w:rPr>
              <w:t>. </w:t>
            </w:r>
            <w:r w:rsidRPr="009C6591">
              <w:rPr>
                <w:rFonts w:ascii="Cambria" w:hAnsi="Cambria"/>
                <w:sz w:val="20"/>
                <w:szCs w:val="20"/>
              </w:rPr>
              <w:t xml:space="preserve"> La Liquidación Provisional deberá ser proferida en las siguientes oportunidades:</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a) Dentro del término de firmeza de la declaración tributaria, cuando se trate de la modificación de la misma;</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b) Dentro del término de cinco (5) años contados a partir de la fecha del vencimiento del plazo para declarar, cuando se trate de obligados que no han cumplido con el deber formal de declarar;</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c) Dentro del término previsto para imponer sanciones, cuando se trate del incumplimiento de las obligaciones distintas al deber formal de declarar.</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Una vez proferida la Liquidación Provisional, el contribuyente tendrá un (1) mes contado a partir de su notificación para aceptarla, rechazarla o solicitar su modificación por una única vez, en este último caso deberá manifestar los motivos de inconformidad en un memorial dirigido a la Administración Tributaria.</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Cuando se solicite la modificación de la Liquidación Provisional, la Administración Tributaria deberá pronunciarse dentro de los dos (2) meses siguientes al agotamiento del término que tiene el contribuyente para proponer la modificación, ya sea profiriendo una nueva Liquidación Provisional o rechazando la solicitud de modificación.</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El contribuyente tendrá un (1) mes para aceptar o rechazar la nueva Liquidación Provisional, contado a partir de su notificación.</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Fonts w:ascii="Cambria" w:hAnsi="Cambria"/>
                <w:sz w:val="20"/>
                <w:szCs w:val="20"/>
              </w:rPr>
              <w:t>En todos los casos, si el contribuyente opta por aceptar la Liquidación Provisional, deberá hacerlo en forma total.</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sz w:val="20"/>
                <w:szCs w:val="20"/>
              </w:rPr>
            </w:pPr>
            <w:r w:rsidRPr="009C6591">
              <w:rPr>
                <w:rStyle w:val="baj"/>
                <w:rFonts w:ascii="Cambria" w:hAnsi="Cambria"/>
                <w:b/>
                <w:bCs/>
                <w:color w:val="343536"/>
                <w:spacing w:val="2"/>
                <w:sz w:val="20"/>
                <w:szCs w:val="20"/>
              </w:rPr>
              <w:t>PARÁGRAFO 1o.</w:t>
            </w:r>
            <w:r w:rsidRPr="009C6591">
              <w:rPr>
                <w:rFonts w:ascii="Cambria" w:hAnsi="Cambria"/>
                <w:sz w:val="20"/>
                <w:szCs w:val="20"/>
              </w:rPr>
              <w:t> La Liquidación Provisional se proferirá por una sola vez, sin perjuicio de que la Administración Tributaria pueda proferir una nueva con ocasión de la modificación solicitada por el contribuyente.</w:t>
            </w:r>
          </w:p>
          <w:p w:rsidR="009C6591" w:rsidRPr="009C6591" w:rsidRDefault="009C6591" w:rsidP="009C6591">
            <w:pPr>
              <w:jc w:val="both"/>
              <w:rPr>
                <w:rFonts w:ascii="Cambria" w:hAnsi="Cambria"/>
                <w:sz w:val="20"/>
                <w:szCs w:val="20"/>
              </w:rPr>
            </w:pPr>
          </w:p>
          <w:p w:rsidR="009C6591" w:rsidRDefault="009C6591" w:rsidP="009C6591">
            <w:pPr>
              <w:jc w:val="both"/>
              <w:rPr>
                <w:rFonts w:ascii="Cambria" w:hAnsi="Cambria"/>
                <w:color w:val="454545"/>
                <w:sz w:val="20"/>
                <w:szCs w:val="20"/>
              </w:rPr>
            </w:pPr>
            <w:r w:rsidRPr="009C6591">
              <w:rPr>
                <w:rFonts w:ascii="Cambria" w:hAnsi="Cambria"/>
                <w:sz w:val="20"/>
                <w:szCs w:val="20"/>
              </w:rPr>
              <w:t>En ningún caso se podrá proferir Liquidación Provisional de manera concomitante con el requerimiento especial, el pliego de cargos o el emplazamiento previo por no declarar.</w:t>
            </w:r>
          </w:p>
          <w:p w:rsidR="009C6591" w:rsidRP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Default="009C6591" w:rsidP="009C6591">
            <w:pPr>
              <w:jc w:val="both"/>
              <w:rPr>
                <w:rFonts w:ascii="Cambria" w:hAnsi="Cambria"/>
                <w:color w:val="454545"/>
                <w:sz w:val="20"/>
                <w:szCs w:val="20"/>
              </w:rPr>
            </w:pPr>
            <w:r w:rsidRPr="009C6591">
              <w:rPr>
                <w:rStyle w:val="baj"/>
                <w:rFonts w:ascii="Cambria" w:hAnsi="Cambria"/>
                <w:b/>
                <w:bCs/>
                <w:color w:val="343536"/>
                <w:spacing w:val="2"/>
                <w:sz w:val="20"/>
                <w:szCs w:val="20"/>
              </w:rPr>
              <w:t>PARÁGRAFO 2o.</w:t>
            </w:r>
            <w:r w:rsidRPr="009C6591">
              <w:rPr>
                <w:rFonts w:ascii="Cambria" w:hAnsi="Cambria"/>
                <w:sz w:val="20"/>
                <w:szCs w:val="20"/>
              </w:rPr>
              <w:t> La Liquidación Provisional se considera aceptada cuando el contribuyente corrija la correspondiente declaración tributaria o presente la misma, en los términos dispuestos en la Liquidación Provisional y atendiendo las formas y procedimientos señalados en el Estatuto Tributario para la presentación y/o corrección de las declaraciones tributarias.</w:t>
            </w:r>
          </w:p>
          <w:p w:rsidR="009C6591" w:rsidRP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Default="009C6591" w:rsidP="009C6591">
            <w:pPr>
              <w:jc w:val="both"/>
              <w:rPr>
                <w:rFonts w:ascii="Cambria" w:hAnsi="Cambria"/>
                <w:color w:val="454545"/>
                <w:sz w:val="20"/>
                <w:szCs w:val="20"/>
              </w:rPr>
            </w:pPr>
            <w:r w:rsidRPr="009C6591">
              <w:rPr>
                <w:rFonts w:ascii="Cambria" w:hAnsi="Cambria"/>
                <w:sz w:val="20"/>
                <w:szCs w:val="20"/>
              </w:rPr>
              <w:t>De igual manera se considera aceptada por el contribuyente, cuando este no se pronuncie dentro de los términos previstos en este artículo sobre la propuesta de Liquidación Provisional, en cuyo caso la Administración Tributaria podrá iniciar el procedimiento administrativo de cobro.</w:t>
            </w:r>
          </w:p>
          <w:p w:rsidR="009C6591" w:rsidRPr="009C6591" w:rsidRDefault="009C6591" w:rsidP="009C6591">
            <w:pPr>
              <w:jc w:val="both"/>
              <w:rPr>
                <w:rFonts w:ascii="Cambria" w:hAnsi="Cambria"/>
                <w:color w:val="454545"/>
                <w:sz w:val="20"/>
                <w:szCs w:val="20"/>
              </w:rPr>
            </w:pPr>
            <w:r w:rsidRPr="009C6591">
              <w:rPr>
                <w:rFonts w:ascii="Cambria" w:hAnsi="Cambria"/>
                <w:color w:val="454545"/>
                <w:sz w:val="20"/>
                <w:szCs w:val="20"/>
              </w:rPr>
              <w:t xml:space="preserve"> </w:t>
            </w:r>
          </w:p>
          <w:p w:rsidR="009C6591" w:rsidRPr="009C6591" w:rsidRDefault="009C6591" w:rsidP="009C6591">
            <w:pPr>
              <w:jc w:val="both"/>
              <w:rPr>
                <w:rFonts w:ascii="Cambria" w:hAnsi="Cambria"/>
                <w:sz w:val="20"/>
                <w:szCs w:val="20"/>
              </w:rPr>
            </w:pPr>
            <w:r w:rsidRPr="009C6591">
              <w:rPr>
                <w:rFonts w:ascii="Cambria" w:hAnsi="Cambria"/>
                <w:sz w:val="20"/>
                <w:szCs w:val="20"/>
              </w:rPr>
              <w:t xml:space="preserve">Cuando se trate del incumplimiento de otras obligaciones formales, distintas a la presentación de la declaración tributaria, se entenderá aceptada la Liquidación Provisional cuando se subsane el hecho sancionable y se pague o se acuerde el pago de la sanción impuesta, conforme las condiciones y requisitos establecidos en el Estatuto Tributario para la obligación formal que corresponda, </w:t>
            </w:r>
            <w:r w:rsidRPr="00545769">
              <w:rPr>
                <w:rFonts w:ascii="Cambria" w:hAnsi="Cambria"/>
                <w:sz w:val="20"/>
                <w:szCs w:val="20"/>
                <w:highlight w:val="yellow"/>
              </w:rPr>
              <w:t>o cuando este no se pronuncie dentro de los términos previstos en este artículo sobre la propuesta de Liquidación Provisional, en cuyo caso se entenderá aceptada y la Administración Tributaria podrá iniciar el procedimiento administrativo de cobro</w:t>
            </w:r>
            <w:r w:rsidRPr="009C6591">
              <w:rPr>
                <w:rFonts w:ascii="Cambria" w:hAnsi="Cambria"/>
                <w:sz w:val="20"/>
                <w:szCs w:val="20"/>
              </w:rPr>
              <w:t xml:space="preserve">. En </w:t>
            </w:r>
            <w:r w:rsidRPr="00545769">
              <w:rPr>
                <w:rFonts w:ascii="Cambria" w:hAnsi="Cambria"/>
                <w:sz w:val="20"/>
                <w:szCs w:val="20"/>
                <w:highlight w:val="yellow"/>
              </w:rPr>
              <w:t>estos casos</w:t>
            </w:r>
            <w:r w:rsidRPr="009C6591">
              <w:rPr>
                <w:rFonts w:ascii="Cambria" w:hAnsi="Cambria"/>
                <w:sz w:val="20"/>
                <w:szCs w:val="20"/>
              </w:rPr>
              <w:t>, la Liquidación Provisional constituye título ejecutivo de conformidad con lo establecido en el artículo 828 del mismo Estatuto.</w:t>
            </w:r>
          </w:p>
          <w:p w:rsidR="009C6591" w:rsidRPr="009C6591" w:rsidRDefault="009C6591" w:rsidP="009C6591">
            <w:pPr>
              <w:jc w:val="both"/>
              <w:rPr>
                <w:rFonts w:ascii="Cambria" w:hAnsi="Cambria"/>
                <w:b/>
                <w:bCs/>
                <w:color w:val="000000" w:themeColor="text1"/>
                <w:sz w:val="20"/>
                <w:szCs w:val="20"/>
              </w:rPr>
            </w:pPr>
          </w:p>
        </w:tc>
      </w:tr>
      <w:tr w:rsidR="002A3225" w:rsidTr="0059378C">
        <w:tc>
          <w:tcPr>
            <w:tcW w:w="4958" w:type="dxa"/>
          </w:tcPr>
          <w:p w:rsidR="002A3225" w:rsidRPr="002A3225" w:rsidRDefault="002A3225" w:rsidP="002A3225">
            <w:pPr>
              <w:jc w:val="both"/>
              <w:rPr>
                <w:rFonts w:ascii="Cambria" w:hAnsi="Cambria"/>
                <w:color w:val="454545"/>
                <w:sz w:val="20"/>
                <w:szCs w:val="20"/>
              </w:rPr>
            </w:pPr>
            <w:bookmarkStart w:id="46" w:name="771-5"/>
            <w:r w:rsidRPr="002A3225">
              <w:rPr>
                <w:rFonts w:ascii="Cambria" w:hAnsi="Cambria"/>
                <w:b/>
                <w:bCs/>
                <w:color w:val="000000" w:themeColor="text1"/>
                <w:sz w:val="20"/>
                <w:szCs w:val="20"/>
              </w:rPr>
              <w:lastRenderedPageBreak/>
              <w:t>Artículo 771-5. Medios de pago para efectos de la aceptación de costos, deducciones, pasivos e impuestos descontables</w:t>
            </w:r>
            <w:r w:rsidRPr="002A3225">
              <w:rPr>
                <w:rFonts w:ascii="Cambria" w:hAnsi="Cambria"/>
                <w:color w:val="00A9E0"/>
                <w:sz w:val="20"/>
                <w:szCs w:val="20"/>
                <w:u w:val="single"/>
              </w:rPr>
              <w:t>.</w:t>
            </w:r>
            <w:bookmarkEnd w:id="46"/>
            <w:r w:rsidRPr="002A3225">
              <w:rPr>
                <w:rFonts w:ascii="Cambria" w:hAnsi="Cambria"/>
                <w:sz w:val="20"/>
                <w:szCs w:val="20"/>
              </w:rPr>
              <w:t>  Para efectos de su reconocimiento fiscal como costos, deducciones, pasivos o impuestos descontables, los pagos que efectúen los contribuyentes o responsables deberán realizarse mediante alguno de los siguientes medios de pago: Depósitos en cuentas bancarias, giros o transferencias bancarias, cheques girados al primer beneficiario, tarjetas de crédito, tarjetas débito u otro tipo de tarjetas o bonos que sirvan como medios de pago en la forma y condiciones que autorice el Gobierno nacional.</w:t>
            </w:r>
            <w:r w:rsidRPr="002A3225">
              <w:rPr>
                <w:rFonts w:ascii="Cambria" w:hAnsi="Cambria"/>
                <w:color w:val="454545"/>
                <w:sz w:val="20"/>
                <w:szCs w:val="20"/>
              </w:rPr>
              <w:t xml:space="preserve"> </w:t>
            </w:r>
          </w:p>
          <w:p w:rsidR="002A3225" w:rsidRDefault="002A3225" w:rsidP="002A3225">
            <w:pPr>
              <w:jc w:val="both"/>
              <w:rPr>
                <w:rFonts w:ascii="Cambria" w:hAnsi="Cambria"/>
                <w:color w:val="454545"/>
                <w:sz w:val="20"/>
                <w:szCs w:val="20"/>
              </w:rPr>
            </w:pPr>
          </w:p>
          <w:p w:rsidR="002A3225" w:rsidRPr="002A3225" w:rsidRDefault="002A3225" w:rsidP="002A3225">
            <w:pPr>
              <w:jc w:val="both"/>
              <w:rPr>
                <w:rFonts w:ascii="Cambria" w:hAnsi="Cambria"/>
                <w:color w:val="454545"/>
                <w:sz w:val="20"/>
                <w:szCs w:val="20"/>
              </w:rPr>
            </w:pPr>
          </w:p>
          <w:p w:rsidR="002A3225" w:rsidRDefault="002A3225" w:rsidP="002A3225">
            <w:pPr>
              <w:jc w:val="both"/>
              <w:rPr>
                <w:rFonts w:ascii="Cambria" w:hAnsi="Cambria"/>
                <w:sz w:val="20"/>
                <w:szCs w:val="20"/>
              </w:rPr>
            </w:pPr>
            <w:r w:rsidRPr="002A3225">
              <w:rPr>
                <w:rFonts w:ascii="Cambria" w:hAnsi="Cambria"/>
                <w:sz w:val="20"/>
                <w:szCs w:val="20"/>
              </w:rPr>
              <w:lastRenderedPageBreak/>
              <w:t>Lo dispuesto en el presente artículo no impide el reconocimiento fiscal de los pagos en especie ni la utilización de los demás modos de extinción de las obligaciones distintos al pago, previstos en el artículo 1625 del Código Civil y demás normas concordantes.</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sz w:val="20"/>
                <w:szCs w:val="20"/>
              </w:rPr>
            </w:pPr>
            <w:r w:rsidRPr="002A3225">
              <w:rPr>
                <w:rFonts w:ascii="Cambria" w:hAnsi="Cambria"/>
                <w:sz w:val="20"/>
                <w:szCs w:val="20"/>
              </w:rPr>
              <w:t>Así mismo, lo dispuesto en el presente artículo solo tiene efectos fiscales y se entiende sin perjuicio de la validez del efectivo como medio de pago legítimo y con poder liberatorio ilimitado, de conformidad con el artículo </w:t>
            </w:r>
            <w:hyperlink r:id="rId105" w:anchor="8" w:history="1">
              <w:r w:rsidRPr="002A3225">
                <w:rPr>
                  <w:rStyle w:val="Hipervnculo"/>
                  <w:rFonts w:ascii="Cambria" w:hAnsi="Cambria"/>
                  <w:color w:val="00A9E0"/>
                  <w:spacing w:val="2"/>
                  <w:sz w:val="20"/>
                  <w:szCs w:val="20"/>
                </w:rPr>
                <w:t>8</w:t>
              </w:r>
            </w:hyperlink>
            <w:r w:rsidRPr="002A3225">
              <w:rPr>
                <w:rFonts w:ascii="Cambria" w:hAnsi="Cambria"/>
                <w:sz w:val="20"/>
                <w:szCs w:val="20"/>
              </w:rPr>
              <w:t>o. de la Ley 31 de 1992.</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1o.</w:t>
            </w:r>
            <w:r w:rsidRPr="002A3225">
              <w:rPr>
                <w:rFonts w:ascii="Cambria" w:hAnsi="Cambria"/>
                <w:sz w:val="20"/>
                <w:szCs w:val="20"/>
              </w:rPr>
              <w:t>  Podrán tener reconocimiento fiscal como costos, deducciones, pasivos o impuestos descontables, los pagos en efectivo que efectúen los contribuyentes o responsables, independientemente del número de pagos que se realicen durante el año, así:</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1. En el año 2018, el menor valor entre:</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a) El ochenta y cinco por ciento (85%) de lo pagado, que en todo caso no podrá superar de cien mil (100.000) UVT, y</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b) El cincuenta por ciento (50%) de los costos y deducciones totales.</w:t>
            </w:r>
          </w:p>
          <w:p w:rsidR="002A3225" w:rsidRPr="002A3225" w:rsidRDefault="002A3225" w:rsidP="002A3225">
            <w:pPr>
              <w:jc w:val="both"/>
              <w:rPr>
                <w:rFonts w:ascii="Cambria" w:hAnsi="Cambria"/>
                <w:sz w:val="20"/>
                <w:szCs w:val="20"/>
                <w:highlight w:val="yellow"/>
              </w:rPr>
            </w:pP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2. En el año 2019, el menor valor entre:</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a) El setenta por ciento (70%) de lo pagado, que en todo caso no podrá superar de ochenta mil (80.000) UVT, y</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b) El cuarenta y cinco por ciento (45%) de los costos y deducciones totales.</w:t>
            </w:r>
          </w:p>
          <w:p w:rsidR="002A3225" w:rsidRPr="002A3225" w:rsidRDefault="002A3225" w:rsidP="002A3225">
            <w:pPr>
              <w:jc w:val="both"/>
              <w:rPr>
                <w:rFonts w:ascii="Cambria" w:hAnsi="Cambria"/>
                <w:sz w:val="20"/>
                <w:szCs w:val="20"/>
                <w:highlight w:val="yellow"/>
              </w:rPr>
            </w:pP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3. En el año 2020, el menor valor entre:</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a) El cincuenta y cinco por ciento (55%) de lo pagado, que en todo caso no podrá superar de sesenta mil (60.000) UVT, y</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b) El cuarenta por ciento (40%) de los costos y deducciones totales.</w:t>
            </w:r>
          </w:p>
          <w:p w:rsidR="002A3225" w:rsidRPr="002A3225" w:rsidRDefault="002A3225" w:rsidP="002A3225">
            <w:pPr>
              <w:jc w:val="both"/>
              <w:rPr>
                <w:rFonts w:ascii="Cambria" w:hAnsi="Cambria"/>
                <w:sz w:val="20"/>
                <w:szCs w:val="20"/>
                <w:highlight w:val="yellow"/>
              </w:rPr>
            </w:pP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4. A partir del año 2021, el menor valor entre:</w:t>
            </w:r>
          </w:p>
          <w:p w:rsidR="002A3225" w:rsidRPr="002A3225" w:rsidRDefault="002A3225" w:rsidP="002A3225">
            <w:pPr>
              <w:jc w:val="both"/>
              <w:rPr>
                <w:rFonts w:ascii="Cambria" w:hAnsi="Cambria"/>
                <w:sz w:val="20"/>
                <w:szCs w:val="20"/>
                <w:highlight w:val="yellow"/>
              </w:rPr>
            </w:pPr>
            <w:r w:rsidRPr="002A3225">
              <w:rPr>
                <w:rFonts w:ascii="Cambria" w:hAnsi="Cambria"/>
                <w:sz w:val="20"/>
                <w:szCs w:val="20"/>
                <w:highlight w:val="yellow"/>
              </w:rPr>
              <w:t>a) El cuarenta por ciento (40%) de lo pagado, que en todo caso no podrá superar de cuarenta mil (40.000) UVT, y</w:t>
            </w:r>
          </w:p>
          <w:p w:rsidR="002A3225" w:rsidRDefault="002A3225" w:rsidP="002A3225">
            <w:pPr>
              <w:jc w:val="both"/>
              <w:rPr>
                <w:rFonts w:ascii="Cambria" w:hAnsi="Cambria"/>
                <w:color w:val="454545"/>
                <w:sz w:val="20"/>
                <w:szCs w:val="20"/>
              </w:rPr>
            </w:pPr>
            <w:r w:rsidRPr="002A3225">
              <w:rPr>
                <w:rFonts w:ascii="Cambria" w:hAnsi="Cambria"/>
                <w:sz w:val="20"/>
                <w:szCs w:val="20"/>
                <w:highlight w:val="yellow"/>
              </w:rPr>
              <w:t>b) El treinta y cinco por ciento (35%) de los costos y deducciones totales.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color w:val="454545"/>
                <w:sz w:val="20"/>
                <w:szCs w:val="20"/>
              </w:rPr>
            </w:pPr>
            <w:r w:rsidRPr="002A3225">
              <w:rPr>
                <w:rStyle w:val="baj"/>
                <w:rFonts w:ascii="Cambria" w:hAnsi="Cambria"/>
                <w:b/>
                <w:bCs/>
                <w:color w:val="343536"/>
                <w:spacing w:val="2"/>
                <w:sz w:val="20"/>
                <w:szCs w:val="20"/>
              </w:rPr>
              <w:t>PARÁGRAFO 2o.</w:t>
            </w:r>
            <w:r w:rsidRPr="002A3225">
              <w:rPr>
                <w:rFonts w:ascii="Cambria" w:hAnsi="Cambria"/>
                <w:sz w:val="20"/>
                <w:szCs w:val="20"/>
              </w:rPr>
              <w:t xml:space="preserve">  En todo caso, los pagos individuales realizados por personas jurídicas y las personas naturales que perciban rentas no laborales de acuerdo a lo dispuesto en este Estatuto, que superen </w:t>
            </w:r>
            <w:r w:rsidRPr="002A3225">
              <w:rPr>
                <w:rFonts w:ascii="Cambria" w:hAnsi="Cambria"/>
                <w:sz w:val="20"/>
                <w:szCs w:val="20"/>
                <w:highlight w:val="yellow"/>
              </w:rPr>
              <w:t>las cien (100)</w:t>
            </w:r>
            <w:r w:rsidRPr="002A3225">
              <w:rPr>
                <w:rFonts w:ascii="Cambria" w:hAnsi="Cambria"/>
                <w:sz w:val="20"/>
                <w:szCs w:val="20"/>
              </w:rPr>
              <w:t xml:space="preserve"> UVT deberán canalizarse a través de los medios financieros, so pena de su desconocimiento fiscal como costo, deducción, pasivo o impuesto descontable </w:t>
            </w:r>
            <w:r w:rsidRPr="002A3225">
              <w:rPr>
                <w:rFonts w:ascii="Cambria" w:hAnsi="Cambria"/>
                <w:sz w:val="20"/>
                <w:szCs w:val="20"/>
                <w:highlight w:val="yellow"/>
              </w:rPr>
              <w:t>en la cédula correspondiente a las rentas no laborales.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lastRenderedPageBreak/>
              <w:t>PARÁGRAFO 3o.</w:t>
            </w:r>
            <w:r w:rsidRPr="002A3225">
              <w:rPr>
                <w:rFonts w:ascii="Cambria" w:hAnsi="Cambria"/>
                <w:sz w:val="20"/>
                <w:szCs w:val="20"/>
              </w:rPr>
              <w:t>  Tratándose de los pagos en efectivo que efectúen operadores de Juegos de Suerte y Azar, la gradualidad prevista en el parágrafo anterior se aplicará de la siguiente manera:</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Fonts w:ascii="Cambria" w:hAnsi="Cambria"/>
                <w:sz w:val="20"/>
                <w:szCs w:val="20"/>
              </w:rPr>
              <w:t>1. En el año 2018, el setenta y cuatro por ciento (74%)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2. En el año 2019, el sesenta y cinco por ciento (65%)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3. En el año 2020, el cincuenta y ocho por ciento (58%) de los costos, deducciones, pasivos o impuestos descontables totales.</w:t>
            </w:r>
          </w:p>
          <w:p w:rsidR="002A3225" w:rsidRDefault="002A3225" w:rsidP="002A3225">
            <w:pPr>
              <w:jc w:val="both"/>
              <w:rPr>
                <w:rFonts w:ascii="Cambria" w:hAnsi="Cambria"/>
                <w:sz w:val="20"/>
                <w:szCs w:val="20"/>
              </w:rPr>
            </w:pPr>
            <w:r w:rsidRPr="002A3225">
              <w:rPr>
                <w:rFonts w:ascii="Cambria" w:hAnsi="Cambria"/>
                <w:sz w:val="20"/>
                <w:szCs w:val="20"/>
              </w:rPr>
              <w:t>4. A partir del año 2021, el cincuenta y dos por ciento (52%) de los costos, deducciones, pasivos o impuestos descontables totales.</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sz w:val="20"/>
                <w:szCs w:val="20"/>
              </w:rPr>
            </w:pPr>
            <w:r w:rsidRPr="002A3225">
              <w:rPr>
                <w:rFonts w:ascii="Cambria" w:hAnsi="Cambria"/>
                <w:sz w:val="20"/>
                <w:szCs w:val="20"/>
              </w:rPr>
              <w:t>Para efectos de este parágrafo no se consideran comprendidos los pagos hasta por mil ochocientas (1.800) UVT que realicen los operadores de juegos de suerte y azar, siempre y cuando realicen la retención en la fuente correspondiente.</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color w:val="454545"/>
                <w:sz w:val="20"/>
                <w:szCs w:val="20"/>
              </w:rPr>
            </w:pPr>
            <w:r w:rsidRPr="002A3225">
              <w:rPr>
                <w:rFonts w:ascii="Cambria" w:hAnsi="Cambria"/>
                <w:sz w:val="20"/>
                <w:szCs w:val="20"/>
              </w:rPr>
              <w:t>El presente tratamiento no será aplicable a los operadores de juegos de suerte y azar que cumplan con las normas de lavado de activos establecidas por las autoridades competentes en aquellos casos en que las entidades financieras por motivos debidamente justificados nieguen el acceso a los productos financieros para la canalización de los pagos de que trata este artículo. En este caso el contribuyente deberá aportar las pruebas correspondientes que acrediten tal hecho, incluyendo las comunicaciones de todas las entidades financieras que sustenten la negativa para abrir los productos financieros. Dichas entidades estarán obligadas a expedir la mencionada comunicación cuando nieguen el acceso a los productos anteriormente mencionados.</w:t>
            </w:r>
          </w:p>
          <w:p w:rsidR="002A3225" w:rsidRPr="002A3225" w:rsidRDefault="002A3225" w:rsidP="002A3225">
            <w:pPr>
              <w:jc w:val="both"/>
              <w:rPr>
                <w:rFonts w:ascii="Cambria" w:hAnsi="Cambria"/>
                <w:color w:val="454545"/>
                <w:sz w:val="20"/>
                <w:szCs w:val="20"/>
              </w:rPr>
            </w:pPr>
          </w:p>
          <w:p w:rsidR="002A3225" w:rsidRDefault="002A3225" w:rsidP="002A3225">
            <w:pPr>
              <w:jc w:val="both"/>
              <w:rPr>
                <w:rFonts w:ascii="Cambria" w:hAnsi="Cambria"/>
                <w:color w:val="454545"/>
                <w:sz w:val="20"/>
                <w:szCs w:val="20"/>
              </w:rPr>
            </w:pPr>
            <w:r w:rsidRPr="002A3225">
              <w:rPr>
                <w:rStyle w:val="baj"/>
                <w:rFonts w:ascii="Cambria" w:hAnsi="Cambria"/>
                <w:b/>
                <w:bCs/>
                <w:color w:val="343536"/>
                <w:spacing w:val="2"/>
                <w:sz w:val="20"/>
                <w:szCs w:val="20"/>
              </w:rPr>
              <w:t>PARÁGRAFO 4o.</w:t>
            </w:r>
            <w:r w:rsidRPr="002A3225">
              <w:rPr>
                <w:rFonts w:ascii="Cambria" w:hAnsi="Cambria"/>
                <w:sz w:val="20"/>
                <w:szCs w:val="20"/>
              </w:rPr>
              <w:t>  Los bancos y demás entidades financieras de naturaleza pública deberán abrir y mantener cuentas en sus entidades y otorgar los productos financieros transaccionales, usuales a los operadores de juegos de suerte y azar autorizados por Coljuegos y demás autoridades nacionales o territoriales competentes, mediante concesión, licencia o cualquier otro tipo de acto administrativo y a los operadores de giros postales, siempre y cuando cumplan con las normas sobre lavado de activos establecidas por las autoridades nacionales.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5o.</w:t>
            </w:r>
            <w:r w:rsidRPr="002A3225">
              <w:rPr>
                <w:rFonts w:ascii="Cambria" w:hAnsi="Cambria"/>
                <w:sz w:val="20"/>
                <w:szCs w:val="20"/>
              </w:rPr>
              <w:t xml:space="preserve">  Tratándose de los pagos en efectivo que efectúen los contribuyentes o responsables </w:t>
            </w:r>
            <w:r w:rsidRPr="002A3225">
              <w:rPr>
                <w:rFonts w:ascii="Cambria" w:hAnsi="Cambria"/>
                <w:sz w:val="20"/>
                <w:szCs w:val="20"/>
              </w:rPr>
              <w:lastRenderedPageBreak/>
              <w:t>pertenecientes al sector agropecuario, de las actividades agrícola, ganadera, pesquera, acuícola, avícola y forestal, así como los comercializadores del régimen SIMPLE y las cooperativas y asociaciones de productores del sector agrícola que comercialicen productos adquiridos directamente al productor, podrán tener reconocimiento fiscal dichos pagos como costos, deducciones, pasivos o impuestos descontables, independientemente del número de pagos que se realicen durante el año, así:</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Fonts w:ascii="Cambria" w:hAnsi="Cambria"/>
                <w:sz w:val="20"/>
                <w:szCs w:val="20"/>
              </w:rPr>
              <w:t>- En el año 2020, el ochenta y cinco por ciento (85%)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 En el año 2021, el setenta y cinco por ciento (75%) de los costos, deducciones, pasivos o impuestos descontables totales.</w:t>
            </w:r>
          </w:p>
          <w:p w:rsidR="002A3225" w:rsidRDefault="002A3225" w:rsidP="002A3225">
            <w:pPr>
              <w:jc w:val="both"/>
              <w:rPr>
                <w:rFonts w:ascii="Cambria" w:hAnsi="Cambria"/>
                <w:color w:val="454545"/>
                <w:sz w:val="20"/>
                <w:szCs w:val="20"/>
              </w:rPr>
            </w:pPr>
            <w:r w:rsidRPr="002A3225">
              <w:rPr>
                <w:rFonts w:ascii="Cambria" w:hAnsi="Cambria"/>
                <w:sz w:val="20"/>
                <w:szCs w:val="20"/>
              </w:rPr>
              <w:t>- A partir del año 2022, el setenta (70%) de los costos, deducciones, pasivos o impuestos descontables totales.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color w:val="454545"/>
                <w:sz w:val="20"/>
                <w:szCs w:val="20"/>
              </w:rPr>
            </w:pPr>
            <w:r w:rsidRPr="002A3225">
              <w:rPr>
                <w:rStyle w:val="baj"/>
                <w:rFonts w:ascii="Cambria" w:hAnsi="Cambria"/>
                <w:b/>
                <w:bCs/>
                <w:color w:val="343536"/>
                <w:spacing w:val="2"/>
                <w:sz w:val="20"/>
                <w:szCs w:val="20"/>
              </w:rPr>
              <w:t>PARÁGRAFO 6o.</w:t>
            </w:r>
            <w:r w:rsidRPr="002A3225">
              <w:rPr>
                <w:rFonts w:ascii="Cambria" w:hAnsi="Cambria"/>
                <w:sz w:val="20"/>
                <w:szCs w:val="20"/>
              </w:rPr>
              <w:t>  El cien por ciento (100%) de los pagos en efectivo que realicen los contribuyentes por compras de pescado fresco, congelado, refrigerado o salado, procedente de la Cuenca Amazónica, que se clasifique en las partidas arancelarias 0302, 0303 y 0305 del Arancel de Aduanas, cuyo ingreso se realice por la jurisdicción correspondiente al Municipio de Leticia, podrán tener reconocimiento fiscal como costos, deducciones, pasivos o impuestos descontables.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P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TRANSITORIO.</w:t>
            </w:r>
            <w:r w:rsidRPr="002A3225">
              <w:rPr>
                <w:rFonts w:ascii="Cambria" w:hAnsi="Cambria"/>
                <w:sz w:val="20"/>
                <w:szCs w:val="20"/>
              </w:rPr>
              <w:t>  El 100% de los pagos en efectivo que realicen los contribuyentes durante los años 2014, 2015, 2016 y 2017 tendrán reconocimiento fiscal como costos, deducciones, pasivos, o impuestos descontables en la declaración de renta correspondiente a dicho período gravable, siempre y cuando cumplan con los demás requisitos establecidos en las normas vigentes.</w:t>
            </w:r>
          </w:p>
          <w:p w:rsidR="002A3225" w:rsidRPr="002A3225" w:rsidRDefault="002A3225" w:rsidP="002A3225">
            <w:pPr>
              <w:jc w:val="both"/>
              <w:rPr>
                <w:rFonts w:ascii="Cambria" w:hAnsi="Cambria"/>
                <w:b/>
                <w:bCs/>
                <w:color w:val="000000" w:themeColor="text1"/>
                <w:sz w:val="20"/>
                <w:szCs w:val="20"/>
              </w:rPr>
            </w:pPr>
          </w:p>
        </w:tc>
        <w:tc>
          <w:tcPr>
            <w:tcW w:w="4865" w:type="dxa"/>
          </w:tcPr>
          <w:p w:rsidR="002A3225" w:rsidRPr="002A3225" w:rsidRDefault="002A3225" w:rsidP="002A3225">
            <w:pPr>
              <w:jc w:val="both"/>
              <w:rPr>
                <w:rFonts w:ascii="Cambria" w:hAnsi="Cambria"/>
                <w:color w:val="454545"/>
                <w:sz w:val="20"/>
                <w:szCs w:val="20"/>
              </w:rPr>
            </w:pPr>
            <w:r w:rsidRPr="002A3225">
              <w:rPr>
                <w:rFonts w:ascii="Cambria" w:hAnsi="Cambria"/>
                <w:b/>
                <w:bCs/>
                <w:color w:val="000000" w:themeColor="text1"/>
                <w:sz w:val="20"/>
                <w:szCs w:val="20"/>
              </w:rPr>
              <w:lastRenderedPageBreak/>
              <w:t>Artículo 771-5. Medios de pago para efectos de la aceptación de costos, deducciones, pasivos e impuestos descontables</w:t>
            </w:r>
            <w:r>
              <w:rPr>
                <w:rFonts w:ascii="Cambria" w:hAnsi="Cambria"/>
                <w:b/>
                <w:bCs/>
                <w:color w:val="000000" w:themeColor="text1"/>
                <w:sz w:val="20"/>
                <w:szCs w:val="20"/>
              </w:rPr>
              <w:t xml:space="preserve"> </w:t>
            </w:r>
            <w:r w:rsidRPr="001A15CF">
              <w:rPr>
                <w:rStyle w:val="iaj"/>
                <w:rFonts w:ascii="Cambria" w:hAnsi="Cambria"/>
                <w:b/>
                <w:bCs/>
                <w:color w:val="FF0000"/>
                <w:spacing w:val="2"/>
                <w:sz w:val="20"/>
                <w:szCs w:val="20"/>
              </w:rPr>
              <w:t>(modificado</w:t>
            </w:r>
            <w:r w:rsidRPr="001A15CF">
              <w:rPr>
                <w:rStyle w:val="iaj"/>
                <w:rFonts w:ascii="Cambria" w:hAnsi="Cambria"/>
                <w:color w:val="FF0000"/>
                <w:spacing w:val="2"/>
                <w:sz w:val="20"/>
                <w:szCs w:val="20"/>
              </w:rPr>
              <w:t xml:space="preserve"> </w:t>
            </w:r>
            <w:r w:rsidRPr="001A15CF">
              <w:rPr>
                <w:rStyle w:val="iaj"/>
                <w:rFonts w:ascii="Cambria" w:hAnsi="Cambria"/>
                <w:b/>
                <w:bCs/>
                <w:color w:val="FF0000"/>
                <w:spacing w:val="2"/>
                <w:sz w:val="20"/>
                <w:szCs w:val="20"/>
              </w:rPr>
              <w:t xml:space="preserve">con artículo </w:t>
            </w:r>
            <w:r>
              <w:rPr>
                <w:rStyle w:val="iaj"/>
                <w:rFonts w:ascii="Cambria" w:hAnsi="Cambria"/>
                <w:b/>
                <w:bCs/>
                <w:color w:val="FF0000"/>
                <w:spacing w:val="2"/>
                <w:sz w:val="20"/>
                <w:szCs w:val="20"/>
              </w:rPr>
              <w:t>64</w:t>
            </w:r>
            <w:r w:rsidRPr="001A15CF">
              <w:rPr>
                <w:rStyle w:val="iaj"/>
                <w:rFonts w:ascii="Cambria" w:hAnsi="Cambria"/>
                <w:b/>
                <w:bCs/>
                <w:color w:val="FF0000"/>
                <w:spacing w:val="2"/>
                <w:sz w:val="20"/>
                <w:szCs w:val="20"/>
              </w:rPr>
              <w:t xml:space="preserve"> proyecto de </w:t>
            </w:r>
            <w:r w:rsidR="00852E78">
              <w:rPr>
                <w:rStyle w:val="iaj"/>
                <w:rFonts w:ascii="Cambria" w:hAnsi="Cambria"/>
                <w:b/>
                <w:bCs/>
                <w:color w:val="FF0000"/>
                <w:spacing w:val="2"/>
                <w:sz w:val="20"/>
                <w:szCs w:val="20"/>
              </w:rPr>
              <w:t>Ley septiembre de 2025</w:t>
            </w:r>
            <w:r w:rsidRPr="001A15CF">
              <w:rPr>
                <w:rStyle w:val="iaj"/>
                <w:rFonts w:ascii="Cambria" w:hAnsi="Cambria"/>
                <w:b/>
                <w:bCs/>
                <w:color w:val="FF0000"/>
                <w:spacing w:val="2"/>
                <w:sz w:val="20"/>
                <w:szCs w:val="20"/>
              </w:rPr>
              <w:t>)</w:t>
            </w:r>
            <w:r w:rsidRPr="009C6591">
              <w:rPr>
                <w:rFonts w:ascii="Cambria" w:hAnsi="Cambria"/>
                <w:b/>
                <w:bCs/>
                <w:color w:val="000000" w:themeColor="text1"/>
                <w:sz w:val="20"/>
                <w:szCs w:val="20"/>
              </w:rPr>
              <w:t>. </w:t>
            </w:r>
            <w:r w:rsidRPr="002A3225">
              <w:rPr>
                <w:rFonts w:ascii="Cambria" w:hAnsi="Cambria"/>
                <w:color w:val="00A9E0"/>
                <w:sz w:val="20"/>
                <w:szCs w:val="20"/>
                <w:u w:val="single"/>
              </w:rPr>
              <w:t>.</w:t>
            </w:r>
            <w:r w:rsidRPr="002A3225">
              <w:rPr>
                <w:rFonts w:ascii="Cambria" w:hAnsi="Cambria"/>
                <w:sz w:val="20"/>
                <w:szCs w:val="20"/>
              </w:rPr>
              <w:t xml:space="preserve">  Para efectos de su reconocimiento fiscal como costos, deducciones, pasivos o impuestos descontables, los pagos que efectúen los contribuyentes o responsables deberán realizarse mediante alguno de los siguientes medios de pago: Depósitos en cuentas bancarias, giros o transferencias bancarias, cheques girados al primer beneficiario, tarjetas de crédito, tarjetas débito </w:t>
            </w:r>
            <w:r w:rsidRPr="002A3225">
              <w:rPr>
                <w:rFonts w:ascii="Cambria" w:hAnsi="Cambria"/>
                <w:sz w:val="20"/>
                <w:szCs w:val="20"/>
                <w:highlight w:val="yellow"/>
              </w:rPr>
              <w:t>cualquier otro medio de pago electrónico</w:t>
            </w:r>
            <w:r w:rsidRPr="002A3225">
              <w:rPr>
                <w:rFonts w:ascii="Cambria" w:hAnsi="Cambria"/>
                <w:sz w:val="20"/>
                <w:szCs w:val="20"/>
              </w:rPr>
              <w:t xml:space="preserve"> y otro tipo de tarjetas o bonos que sirvan como medios de pago en la forma y condiciones que autorice el Gobierno </w:t>
            </w:r>
            <w:proofErr w:type="spellStart"/>
            <w:r w:rsidRPr="002A3225">
              <w:rPr>
                <w:rFonts w:ascii="Cambria" w:hAnsi="Cambria"/>
                <w:sz w:val="20"/>
                <w:szCs w:val="20"/>
              </w:rPr>
              <w:t>naciona</w:t>
            </w:r>
            <w:proofErr w:type="spellEnd"/>
            <w:r w:rsidRPr="002A3225">
              <w:rPr>
                <w:rFonts w:ascii="Cambria" w:hAnsi="Cambria"/>
                <w:sz w:val="20"/>
                <w:szCs w:val="20"/>
              </w:rPr>
              <w:t>.</w:t>
            </w:r>
            <w:r w:rsidRPr="002A3225">
              <w:rPr>
                <w:rFonts w:ascii="Cambria" w:hAnsi="Cambria"/>
                <w:color w:val="454545"/>
                <w:sz w:val="20"/>
                <w:szCs w:val="20"/>
              </w:rPr>
              <w:t xml:space="preserve"> </w:t>
            </w:r>
          </w:p>
          <w:p w:rsidR="002A3225" w:rsidRPr="002A3225" w:rsidRDefault="002A3225" w:rsidP="002A3225">
            <w:pPr>
              <w:jc w:val="both"/>
              <w:rPr>
                <w:rFonts w:ascii="Cambria" w:hAnsi="Cambria"/>
                <w:color w:val="454545"/>
                <w:sz w:val="20"/>
                <w:szCs w:val="20"/>
              </w:rPr>
            </w:pPr>
          </w:p>
          <w:p w:rsidR="002A3225" w:rsidRDefault="002A3225" w:rsidP="002A3225">
            <w:pPr>
              <w:jc w:val="both"/>
              <w:rPr>
                <w:rFonts w:ascii="Cambria" w:hAnsi="Cambria"/>
                <w:sz w:val="20"/>
                <w:szCs w:val="20"/>
              </w:rPr>
            </w:pPr>
            <w:r w:rsidRPr="002A3225">
              <w:rPr>
                <w:rFonts w:ascii="Cambria" w:hAnsi="Cambria"/>
                <w:sz w:val="20"/>
                <w:szCs w:val="20"/>
              </w:rPr>
              <w:lastRenderedPageBreak/>
              <w:t>Lo dispuesto en el presente artículo no impide el reconocimiento fiscal de los pagos en especie ni la utilización de los demás modos de extinción de las obligaciones distintos al pago, previstos en el artículo 1625 del Código Civil y demás normas concordantes.</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sz w:val="20"/>
                <w:szCs w:val="20"/>
              </w:rPr>
            </w:pPr>
            <w:r w:rsidRPr="002A3225">
              <w:rPr>
                <w:rFonts w:ascii="Cambria" w:hAnsi="Cambria"/>
                <w:sz w:val="20"/>
                <w:szCs w:val="20"/>
              </w:rPr>
              <w:t>Así mismo, lo dispuesto en el presente artículo solo tiene efectos fiscales y se entiende sin perjuicio de la validez del efectivo como medio de pago legítimo y con poder liberatorio ilimitado, de conformidad con el artículo </w:t>
            </w:r>
            <w:hyperlink r:id="rId106" w:anchor="8" w:history="1">
              <w:r w:rsidRPr="002A3225">
                <w:rPr>
                  <w:rStyle w:val="Hipervnculo"/>
                  <w:rFonts w:ascii="Cambria" w:hAnsi="Cambria"/>
                  <w:color w:val="00A9E0"/>
                  <w:spacing w:val="2"/>
                  <w:sz w:val="20"/>
                  <w:szCs w:val="20"/>
                </w:rPr>
                <w:t>8</w:t>
              </w:r>
            </w:hyperlink>
            <w:r w:rsidRPr="002A3225">
              <w:rPr>
                <w:rFonts w:ascii="Cambria" w:hAnsi="Cambria"/>
                <w:sz w:val="20"/>
                <w:szCs w:val="20"/>
              </w:rPr>
              <w:t>o. de la Ley 31 de 1992.</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1o.</w:t>
            </w:r>
            <w:r w:rsidRPr="002A3225">
              <w:rPr>
                <w:rFonts w:ascii="Cambria" w:hAnsi="Cambria"/>
                <w:sz w:val="20"/>
                <w:szCs w:val="20"/>
              </w:rPr>
              <w:t xml:space="preserve">  Podrán tener reconocimiento fiscal como costos, deducciones, pasivos o impuestos descontables, los pagos en efectivo que efectúen los contribuyentes o responsables, independientemente del número de pagos que se realicen durante el año, </w:t>
            </w:r>
          </w:p>
          <w:p w:rsidR="002A3225" w:rsidRDefault="002A3225" w:rsidP="002A3225">
            <w:pPr>
              <w:jc w:val="both"/>
              <w:rPr>
                <w:rFonts w:ascii="Cambria" w:hAnsi="Cambria"/>
                <w:sz w:val="20"/>
                <w:szCs w:val="20"/>
              </w:rPr>
            </w:pPr>
            <w:r w:rsidRPr="002A3225">
              <w:rPr>
                <w:rFonts w:ascii="Cambria" w:hAnsi="Cambria"/>
                <w:sz w:val="20"/>
                <w:szCs w:val="20"/>
              </w:rPr>
              <w:t>el menor valor entre:</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Fonts w:ascii="Cambria" w:hAnsi="Cambria"/>
                <w:sz w:val="20"/>
                <w:szCs w:val="20"/>
              </w:rPr>
              <w:t xml:space="preserve">a) El </w:t>
            </w:r>
            <w:r>
              <w:rPr>
                <w:rFonts w:ascii="Cambria" w:hAnsi="Cambria"/>
                <w:sz w:val="20"/>
                <w:szCs w:val="20"/>
              </w:rPr>
              <w:t>veinte</w:t>
            </w:r>
            <w:r w:rsidRPr="002A3225">
              <w:rPr>
                <w:rFonts w:ascii="Cambria" w:hAnsi="Cambria"/>
                <w:sz w:val="20"/>
                <w:szCs w:val="20"/>
              </w:rPr>
              <w:t xml:space="preserve"> por ciento (</w:t>
            </w:r>
            <w:r>
              <w:rPr>
                <w:rFonts w:ascii="Cambria" w:hAnsi="Cambria"/>
                <w:sz w:val="20"/>
                <w:szCs w:val="20"/>
              </w:rPr>
              <w:t>20</w:t>
            </w:r>
            <w:r w:rsidRPr="002A3225">
              <w:rPr>
                <w:rFonts w:ascii="Cambria" w:hAnsi="Cambria"/>
                <w:sz w:val="20"/>
                <w:szCs w:val="20"/>
              </w:rPr>
              <w:t xml:space="preserve">%) de lo pagado, que en todo caso no podrá superar </w:t>
            </w:r>
            <w:r>
              <w:rPr>
                <w:rFonts w:ascii="Cambria" w:hAnsi="Cambria"/>
                <w:sz w:val="20"/>
                <w:szCs w:val="20"/>
              </w:rPr>
              <w:t xml:space="preserve">veinte </w:t>
            </w:r>
            <w:r w:rsidRPr="002A3225">
              <w:rPr>
                <w:rFonts w:ascii="Cambria" w:hAnsi="Cambria"/>
                <w:sz w:val="20"/>
                <w:szCs w:val="20"/>
              </w:rPr>
              <w:t>mil (</w:t>
            </w:r>
            <w:r>
              <w:rPr>
                <w:rFonts w:ascii="Cambria" w:hAnsi="Cambria"/>
                <w:sz w:val="20"/>
                <w:szCs w:val="20"/>
              </w:rPr>
              <w:t>20</w:t>
            </w:r>
            <w:r w:rsidRPr="002A3225">
              <w:rPr>
                <w:rFonts w:ascii="Cambria" w:hAnsi="Cambria"/>
                <w:sz w:val="20"/>
                <w:szCs w:val="20"/>
              </w:rPr>
              <w:t>.000) UVT, y</w:t>
            </w:r>
          </w:p>
          <w:p w:rsidR="002A3225" w:rsidRDefault="002A3225" w:rsidP="002A3225">
            <w:pPr>
              <w:jc w:val="both"/>
              <w:rPr>
                <w:rFonts w:ascii="Cambria" w:hAnsi="Cambria"/>
                <w:sz w:val="20"/>
                <w:szCs w:val="20"/>
              </w:rPr>
            </w:pPr>
            <w:r w:rsidRPr="002A3225">
              <w:rPr>
                <w:rFonts w:ascii="Cambria" w:hAnsi="Cambria"/>
                <w:sz w:val="20"/>
                <w:szCs w:val="20"/>
              </w:rPr>
              <w:t xml:space="preserve">b) El </w:t>
            </w:r>
            <w:r>
              <w:rPr>
                <w:rFonts w:ascii="Cambria" w:hAnsi="Cambria"/>
                <w:sz w:val="20"/>
                <w:szCs w:val="20"/>
              </w:rPr>
              <w:t xml:space="preserve">dieciocho </w:t>
            </w:r>
            <w:r w:rsidRPr="002A3225">
              <w:rPr>
                <w:rFonts w:ascii="Cambria" w:hAnsi="Cambria"/>
                <w:sz w:val="20"/>
                <w:szCs w:val="20"/>
              </w:rPr>
              <w:t>por ciento (</w:t>
            </w:r>
            <w:r>
              <w:rPr>
                <w:rFonts w:ascii="Cambria" w:hAnsi="Cambria"/>
                <w:sz w:val="20"/>
                <w:szCs w:val="20"/>
              </w:rPr>
              <w:t>18</w:t>
            </w:r>
            <w:r w:rsidRPr="002A3225">
              <w:rPr>
                <w:rFonts w:ascii="Cambria" w:hAnsi="Cambria"/>
                <w:sz w:val="20"/>
                <w:szCs w:val="20"/>
              </w:rPr>
              <w:t>%) de los costos y deducciones totales.</w:t>
            </w:r>
          </w:p>
          <w:p w:rsidR="002A3225" w:rsidRPr="002A3225" w:rsidRDefault="002A3225" w:rsidP="002A3225">
            <w:pPr>
              <w:jc w:val="both"/>
              <w:rPr>
                <w:rFonts w:ascii="Cambria" w:hAnsi="Cambria"/>
                <w:sz w:val="20"/>
                <w:szCs w:val="20"/>
              </w:rPr>
            </w:pPr>
          </w:p>
          <w:p w:rsidR="002A3225" w:rsidRDefault="002A3225" w:rsidP="002A3225">
            <w:pPr>
              <w:jc w:val="both"/>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852E78" w:rsidRDefault="00852E78"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Style w:val="baj"/>
                <w:b/>
                <w:bCs/>
                <w:color w:val="343536"/>
                <w:spacing w:val="2"/>
              </w:rPr>
            </w:pPr>
          </w:p>
          <w:p w:rsidR="002A3225" w:rsidRDefault="002A3225" w:rsidP="002A3225">
            <w:pPr>
              <w:jc w:val="both"/>
              <w:rPr>
                <w:rFonts w:ascii="Cambria" w:hAnsi="Cambria"/>
                <w:color w:val="454545"/>
                <w:sz w:val="20"/>
                <w:szCs w:val="20"/>
              </w:rPr>
            </w:pPr>
            <w:r>
              <w:rPr>
                <w:rStyle w:val="baj"/>
                <w:rFonts w:ascii="Cambria" w:hAnsi="Cambria"/>
                <w:b/>
                <w:bCs/>
                <w:color w:val="343536"/>
                <w:spacing w:val="2"/>
                <w:sz w:val="20"/>
                <w:szCs w:val="20"/>
              </w:rPr>
              <w:t>PAR</w:t>
            </w:r>
            <w:r w:rsidRPr="002A3225">
              <w:rPr>
                <w:rStyle w:val="baj"/>
                <w:rFonts w:ascii="Cambria" w:hAnsi="Cambria"/>
                <w:b/>
                <w:bCs/>
                <w:color w:val="343536"/>
                <w:spacing w:val="2"/>
                <w:sz w:val="20"/>
                <w:szCs w:val="20"/>
              </w:rPr>
              <w:t>ÁGRAFO 2o.</w:t>
            </w:r>
            <w:r w:rsidRPr="002A3225">
              <w:rPr>
                <w:rFonts w:ascii="Cambria" w:hAnsi="Cambria"/>
                <w:sz w:val="20"/>
                <w:szCs w:val="20"/>
              </w:rPr>
              <w:t xml:space="preserve">  En todo caso, los pagos individuales realizados por personas jurídicas y las personas naturales que perciban rentas no laborales de acuerdo a lo dispuesto en este Estatuto, que </w:t>
            </w:r>
            <w:r w:rsidRPr="002A3225">
              <w:rPr>
                <w:rFonts w:ascii="Cambria" w:hAnsi="Cambria"/>
                <w:sz w:val="20"/>
                <w:szCs w:val="20"/>
                <w:highlight w:val="yellow"/>
              </w:rPr>
              <w:t>superen 50 UVT</w:t>
            </w:r>
            <w:r w:rsidRPr="002A3225">
              <w:rPr>
                <w:rFonts w:ascii="Cambria" w:hAnsi="Cambria"/>
                <w:sz w:val="20"/>
                <w:szCs w:val="20"/>
              </w:rPr>
              <w:t xml:space="preserve"> </w:t>
            </w:r>
            <w:r>
              <w:rPr>
                <w:rFonts w:ascii="Cambria" w:hAnsi="Cambria"/>
                <w:sz w:val="20"/>
                <w:szCs w:val="20"/>
              </w:rPr>
              <w:t xml:space="preserve">a </w:t>
            </w:r>
            <w:r w:rsidRPr="002A3225">
              <w:rPr>
                <w:rFonts w:ascii="Cambria" w:hAnsi="Cambria"/>
                <w:sz w:val="20"/>
                <w:szCs w:val="20"/>
                <w:highlight w:val="yellow"/>
              </w:rPr>
              <w:t>un mismo beneficiario en el año gravable</w:t>
            </w:r>
            <w:r>
              <w:rPr>
                <w:rFonts w:ascii="Cambria" w:hAnsi="Cambria"/>
                <w:sz w:val="20"/>
                <w:szCs w:val="20"/>
              </w:rPr>
              <w:t xml:space="preserve"> </w:t>
            </w:r>
            <w:r w:rsidRPr="002A3225">
              <w:rPr>
                <w:rFonts w:ascii="Cambria" w:hAnsi="Cambria"/>
                <w:sz w:val="20"/>
                <w:szCs w:val="20"/>
              </w:rPr>
              <w:t>deberán canalizarse a través de los medios financieros</w:t>
            </w:r>
            <w:r>
              <w:rPr>
                <w:rFonts w:ascii="Cambria" w:hAnsi="Cambria"/>
                <w:sz w:val="20"/>
                <w:szCs w:val="20"/>
              </w:rPr>
              <w:t xml:space="preserve"> </w:t>
            </w:r>
            <w:r w:rsidRPr="002A3225">
              <w:rPr>
                <w:rFonts w:ascii="Cambria" w:hAnsi="Cambria"/>
                <w:sz w:val="20"/>
                <w:szCs w:val="20"/>
                <w:highlight w:val="yellow"/>
              </w:rPr>
              <w:t>o pagos electrónicos,</w:t>
            </w:r>
            <w:r w:rsidRPr="002A3225">
              <w:rPr>
                <w:rFonts w:ascii="Cambria" w:hAnsi="Cambria"/>
                <w:sz w:val="20"/>
                <w:szCs w:val="20"/>
              </w:rPr>
              <w:t xml:space="preserve"> so pena de su desconocimiento fiscal como costo, deducción, pasivo o impuesto descontable </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lastRenderedPageBreak/>
              <w:t>PARÁGRAFO 3o.</w:t>
            </w:r>
            <w:r w:rsidRPr="002A3225">
              <w:rPr>
                <w:rFonts w:ascii="Cambria" w:hAnsi="Cambria"/>
                <w:sz w:val="20"/>
                <w:szCs w:val="20"/>
              </w:rPr>
              <w:t>  Tratándose de los pagos en efectivo que efectúen operadores de Juegos de Suerte y Azar, la gradualidad prevista en el parágrafo anterior se aplicará de la siguiente manera:</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Fonts w:ascii="Cambria" w:hAnsi="Cambria"/>
                <w:sz w:val="20"/>
                <w:szCs w:val="20"/>
              </w:rPr>
              <w:t>1. En el año 2018, el setenta y cuatro por ciento (74%)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2. En el año 2019, el sesenta y cinco por ciento (65%)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3. En el año 2020, el cincuenta y ocho por ciento (58%) de los costos, deducciones, pasivos o impuestos descontables totales.</w:t>
            </w:r>
          </w:p>
          <w:p w:rsidR="002A3225" w:rsidRDefault="002A3225" w:rsidP="002A3225">
            <w:pPr>
              <w:jc w:val="both"/>
              <w:rPr>
                <w:rFonts w:ascii="Cambria" w:hAnsi="Cambria"/>
                <w:sz w:val="20"/>
                <w:szCs w:val="20"/>
              </w:rPr>
            </w:pPr>
            <w:r w:rsidRPr="002A3225">
              <w:rPr>
                <w:rFonts w:ascii="Cambria" w:hAnsi="Cambria"/>
                <w:sz w:val="20"/>
                <w:szCs w:val="20"/>
              </w:rPr>
              <w:t>4. A partir del año 2021, el cincuenta y dos por ciento (52%) de los costos, deducciones, pasivos o impuestos descontables totales.</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sz w:val="20"/>
                <w:szCs w:val="20"/>
              </w:rPr>
            </w:pPr>
            <w:r w:rsidRPr="002A3225">
              <w:rPr>
                <w:rFonts w:ascii="Cambria" w:hAnsi="Cambria"/>
                <w:sz w:val="20"/>
                <w:szCs w:val="20"/>
              </w:rPr>
              <w:t>Para efectos de este parágrafo no se consideran comprendidos los pagos hasta por mil ochocientas (1.800) UVT que realicen los operadores de juegos de suerte y azar, siempre y cuando realicen la retención en la fuente correspondiente.</w:t>
            </w:r>
          </w:p>
          <w:p w:rsidR="002A3225" w:rsidRPr="002A3225" w:rsidRDefault="002A3225" w:rsidP="002A3225">
            <w:pPr>
              <w:jc w:val="both"/>
              <w:rPr>
                <w:rFonts w:ascii="Cambria" w:hAnsi="Cambria"/>
                <w:sz w:val="20"/>
                <w:szCs w:val="20"/>
              </w:rPr>
            </w:pPr>
          </w:p>
          <w:p w:rsidR="002A3225" w:rsidRDefault="002A3225" w:rsidP="002A3225">
            <w:pPr>
              <w:jc w:val="both"/>
              <w:rPr>
                <w:rFonts w:ascii="Cambria" w:hAnsi="Cambria"/>
                <w:color w:val="454545"/>
                <w:sz w:val="20"/>
                <w:szCs w:val="20"/>
              </w:rPr>
            </w:pPr>
            <w:r w:rsidRPr="002A3225">
              <w:rPr>
                <w:rFonts w:ascii="Cambria" w:hAnsi="Cambria"/>
                <w:sz w:val="20"/>
                <w:szCs w:val="20"/>
              </w:rPr>
              <w:t>El presente tratamiento no será aplicable a los operadores de juegos de suerte y azar que cumplan con las normas de lavado de activos establecidas por las autoridades competentes en aquellos casos en que las entidades financieras por motivos debidamente justificados nieguen el acceso a los productos financieros para la canalización de los pagos de que trata este artículo. En este caso el contribuyente deberá aportar las pruebas correspondientes que acrediten tal hecho, incluyendo las comunicaciones de todas las entidades financieras que sustenten la negativa para abrir los productos financieros. Dichas entidades estarán obligadas a expedir la mencionada comunicación cuando nieguen el acceso a los productos anteriormente mencionados.</w:t>
            </w:r>
          </w:p>
          <w:p w:rsidR="002A3225" w:rsidRPr="002A3225" w:rsidRDefault="002A3225" w:rsidP="002A3225">
            <w:pPr>
              <w:jc w:val="both"/>
              <w:rPr>
                <w:rFonts w:ascii="Cambria" w:hAnsi="Cambria"/>
                <w:color w:val="454545"/>
                <w:sz w:val="20"/>
                <w:szCs w:val="20"/>
              </w:rPr>
            </w:pPr>
          </w:p>
          <w:p w:rsidR="002A3225" w:rsidRDefault="002A3225" w:rsidP="002A3225">
            <w:pPr>
              <w:jc w:val="both"/>
              <w:rPr>
                <w:rFonts w:ascii="Cambria" w:hAnsi="Cambria"/>
                <w:color w:val="454545"/>
                <w:sz w:val="20"/>
                <w:szCs w:val="20"/>
              </w:rPr>
            </w:pPr>
            <w:r w:rsidRPr="002A3225">
              <w:rPr>
                <w:rStyle w:val="baj"/>
                <w:rFonts w:ascii="Cambria" w:hAnsi="Cambria"/>
                <w:b/>
                <w:bCs/>
                <w:color w:val="343536"/>
                <w:spacing w:val="2"/>
                <w:sz w:val="20"/>
                <w:szCs w:val="20"/>
              </w:rPr>
              <w:t>PARÁGRAFO 4o.</w:t>
            </w:r>
            <w:r w:rsidRPr="002A3225">
              <w:rPr>
                <w:rFonts w:ascii="Cambria" w:hAnsi="Cambria"/>
                <w:sz w:val="20"/>
                <w:szCs w:val="20"/>
              </w:rPr>
              <w:t>  Los bancos y demás entidades financieras de naturaleza pública deberán abrir y mantener cuentas en sus entidades y otorgar los productos financieros transaccionales, usuales a los operadores de juegos de suerte y azar autorizados por Coljuegos y demás autoridades nacionales o territoriales competentes, mediante concesión, licencia o cualquier otro tipo de acto administrativo y a los operadores de giros postales, siempre y cuando cumplan con las normas sobre lavado de activos establecidas por las autoridades nacionales.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5o.</w:t>
            </w:r>
            <w:r w:rsidRPr="002A3225">
              <w:rPr>
                <w:rFonts w:ascii="Cambria" w:hAnsi="Cambria"/>
                <w:sz w:val="20"/>
                <w:szCs w:val="20"/>
              </w:rPr>
              <w:t xml:space="preserve">  Tratándose de los pagos en efectivo que efectúen los contribuyentes o responsables </w:t>
            </w:r>
            <w:r w:rsidRPr="002A3225">
              <w:rPr>
                <w:rFonts w:ascii="Cambria" w:hAnsi="Cambria"/>
                <w:sz w:val="20"/>
                <w:szCs w:val="20"/>
              </w:rPr>
              <w:lastRenderedPageBreak/>
              <w:t>pertenecientes al sector agropecuario, de las actividades agrícola, ganadera, pesquera, acuícola, avícola y forestal, así como los comercializadores del régimen SIMPLE y las cooperativas y asociaciones de productores del sector agrícola que comercialicen productos adquiridos directamente al productor, podrán tener reconocimiento fiscal dichos pagos como costos, deducciones, pasivos o impuestos descontables, independientemente del número de pagos que se realicen durante el año, así:</w:t>
            </w:r>
          </w:p>
          <w:p w:rsidR="002A3225" w:rsidRPr="002A3225" w:rsidRDefault="002A3225" w:rsidP="002A3225">
            <w:pPr>
              <w:jc w:val="both"/>
              <w:rPr>
                <w:rFonts w:ascii="Cambria" w:hAnsi="Cambria"/>
                <w:sz w:val="20"/>
                <w:szCs w:val="20"/>
              </w:rPr>
            </w:pPr>
          </w:p>
          <w:p w:rsidR="002A3225" w:rsidRPr="002A3225" w:rsidRDefault="002A3225" w:rsidP="002A3225">
            <w:pPr>
              <w:jc w:val="both"/>
              <w:rPr>
                <w:rFonts w:ascii="Cambria" w:hAnsi="Cambria"/>
                <w:sz w:val="20"/>
                <w:szCs w:val="20"/>
              </w:rPr>
            </w:pPr>
            <w:r w:rsidRPr="002A3225">
              <w:rPr>
                <w:rFonts w:ascii="Cambria" w:hAnsi="Cambria"/>
                <w:sz w:val="20"/>
                <w:szCs w:val="20"/>
              </w:rPr>
              <w:t>- En el año 2020, el ochenta y cinco por ciento (85%) de los costos, deducciones, pasivos o impuestos descontables totales.</w:t>
            </w:r>
          </w:p>
          <w:p w:rsidR="002A3225" w:rsidRPr="002A3225" w:rsidRDefault="002A3225" w:rsidP="002A3225">
            <w:pPr>
              <w:jc w:val="both"/>
              <w:rPr>
                <w:rFonts w:ascii="Cambria" w:hAnsi="Cambria"/>
                <w:sz w:val="20"/>
                <w:szCs w:val="20"/>
              </w:rPr>
            </w:pPr>
            <w:r w:rsidRPr="002A3225">
              <w:rPr>
                <w:rFonts w:ascii="Cambria" w:hAnsi="Cambria"/>
                <w:sz w:val="20"/>
                <w:szCs w:val="20"/>
              </w:rPr>
              <w:t>- En el año 2021, el setenta y cinco por ciento (75%) de los costos, deducciones, pasivos o impuestos descontables totales.</w:t>
            </w:r>
          </w:p>
          <w:p w:rsidR="002A3225" w:rsidRDefault="002A3225" w:rsidP="002A3225">
            <w:pPr>
              <w:jc w:val="both"/>
              <w:rPr>
                <w:rFonts w:ascii="Cambria" w:hAnsi="Cambria"/>
                <w:color w:val="454545"/>
                <w:sz w:val="20"/>
                <w:szCs w:val="20"/>
              </w:rPr>
            </w:pPr>
            <w:r w:rsidRPr="002A3225">
              <w:rPr>
                <w:rFonts w:ascii="Cambria" w:hAnsi="Cambria"/>
                <w:sz w:val="20"/>
                <w:szCs w:val="20"/>
              </w:rPr>
              <w:t>- A partir del año 2022, el setenta (70%) de los costos, deducciones, pasivos o impuestos descontables totales.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Default="002A3225" w:rsidP="002A3225">
            <w:pPr>
              <w:jc w:val="both"/>
              <w:rPr>
                <w:rFonts w:ascii="Cambria" w:hAnsi="Cambria"/>
                <w:color w:val="454545"/>
                <w:sz w:val="20"/>
                <w:szCs w:val="20"/>
              </w:rPr>
            </w:pPr>
            <w:r w:rsidRPr="002A3225">
              <w:rPr>
                <w:rStyle w:val="baj"/>
                <w:rFonts w:ascii="Cambria" w:hAnsi="Cambria"/>
                <w:b/>
                <w:bCs/>
                <w:color w:val="343536"/>
                <w:spacing w:val="2"/>
                <w:sz w:val="20"/>
                <w:szCs w:val="20"/>
              </w:rPr>
              <w:t>PARÁGRAFO 6o.</w:t>
            </w:r>
            <w:r w:rsidRPr="002A3225">
              <w:rPr>
                <w:rFonts w:ascii="Cambria" w:hAnsi="Cambria"/>
                <w:sz w:val="20"/>
                <w:szCs w:val="20"/>
              </w:rPr>
              <w:t>  El cien por ciento (100%) de los pagos en efectivo que realicen los contribuyentes por compras de pescado fresco, congelado, refrigerado o salado, procedente de la Cuenca Amazónica, que se clasifique en las partidas arancelarias 0302, 0303 y 0305 del Arancel de Aduanas, cuyo ingreso se realice por la jurisdicción correspondiente al Municipio de Leticia, podrán tener reconocimiento fiscal como costos, deducciones, pasivos o impuestos descontables.</w:t>
            </w:r>
          </w:p>
          <w:p w:rsidR="002A3225" w:rsidRPr="002A3225" w:rsidRDefault="002A3225" w:rsidP="002A3225">
            <w:pPr>
              <w:jc w:val="both"/>
              <w:rPr>
                <w:rFonts w:ascii="Cambria" w:hAnsi="Cambria"/>
                <w:color w:val="454545"/>
                <w:sz w:val="20"/>
                <w:szCs w:val="20"/>
              </w:rPr>
            </w:pPr>
            <w:r w:rsidRPr="002A3225">
              <w:rPr>
                <w:rFonts w:ascii="Cambria" w:hAnsi="Cambria"/>
                <w:color w:val="454545"/>
                <w:sz w:val="20"/>
                <w:szCs w:val="20"/>
              </w:rPr>
              <w:t xml:space="preserve"> </w:t>
            </w:r>
          </w:p>
          <w:p w:rsidR="002A3225" w:rsidRPr="002A3225" w:rsidRDefault="002A3225" w:rsidP="002A3225">
            <w:pPr>
              <w:jc w:val="both"/>
              <w:rPr>
                <w:rFonts w:ascii="Cambria" w:hAnsi="Cambria"/>
                <w:sz w:val="20"/>
                <w:szCs w:val="20"/>
              </w:rPr>
            </w:pPr>
            <w:r w:rsidRPr="002A3225">
              <w:rPr>
                <w:rStyle w:val="baj"/>
                <w:rFonts w:ascii="Cambria" w:hAnsi="Cambria"/>
                <w:b/>
                <w:bCs/>
                <w:color w:val="343536"/>
                <w:spacing w:val="2"/>
                <w:sz w:val="20"/>
                <w:szCs w:val="20"/>
              </w:rPr>
              <w:t>PARÁGRAFO TRANSITORIO.</w:t>
            </w:r>
            <w:r w:rsidRPr="002A3225">
              <w:rPr>
                <w:rFonts w:ascii="Cambria" w:hAnsi="Cambria"/>
                <w:sz w:val="20"/>
                <w:szCs w:val="20"/>
              </w:rPr>
              <w:t>  El 100% de los pagos en efectivo que realicen los contribuyentes durante los años 2014, 2015, 2016 y 2017 tendrán reconocimiento fiscal como costos, deducciones, pasivos, o impuestos descontables en la declaración de renta correspondiente a dicho período gravable, siempre y cuando cumplan con los demás requisitos establecidos en las normas vigentes.</w:t>
            </w:r>
          </w:p>
          <w:p w:rsidR="002A3225" w:rsidRPr="002A3225" w:rsidRDefault="002A3225" w:rsidP="002A3225">
            <w:pPr>
              <w:jc w:val="both"/>
              <w:rPr>
                <w:rFonts w:ascii="Cambria" w:hAnsi="Cambria"/>
                <w:b/>
                <w:bCs/>
                <w:color w:val="000000" w:themeColor="text1"/>
                <w:sz w:val="20"/>
                <w:szCs w:val="20"/>
              </w:rPr>
            </w:pPr>
          </w:p>
        </w:tc>
      </w:tr>
      <w:tr w:rsidR="00D309F4" w:rsidTr="0059378C">
        <w:tc>
          <w:tcPr>
            <w:tcW w:w="4958" w:type="dxa"/>
          </w:tcPr>
          <w:p w:rsidR="00D309F4" w:rsidRPr="00A720D0" w:rsidRDefault="00D309F4" w:rsidP="00D309F4">
            <w:pPr>
              <w:jc w:val="both"/>
              <w:rPr>
                <w:rFonts w:ascii="Cambria" w:hAnsi="Cambria"/>
                <w:sz w:val="20"/>
                <w:szCs w:val="20"/>
                <w:highlight w:val="yellow"/>
              </w:rPr>
            </w:pPr>
            <w:bookmarkStart w:id="47" w:name="869-1"/>
            <w:r w:rsidRPr="00A720D0">
              <w:rPr>
                <w:rFonts w:ascii="Cambria" w:hAnsi="Cambria"/>
                <w:b/>
                <w:bCs/>
                <w:color w:val="000000" w:themeColor="text1"/>
                <w:sz w:val="20"/>
                <w:szCs w:val="20"/>
                <w:highlight w:val="yellow"/>
              </w:rPr>
              <w:lastRenderedPageBreak/>
              <w:t>Artículo 869-1. </w:t>
            </w:r>
            <w:r w:rsidRPr="00A720D0">
              <w:rPr>
                <w:rStyle w:val="iaj"/>
                <w:rFonts w:ascii="Cambria" w:hAnsi="Cambria"/>
                <w:b/>
                <w:bCs/>
                <w:color w:val="000000" w:themeColor="text1"/>
                <w:spacing w:val="2"/>
                <w:sz w:val="20"/>
                <w:szCs w:val="20"/>
                <w:highlight w:val="yellow"/>
              </w:rPr>
              <w:t>Procedimiento especial por abuso en materia tributaria</w:t>
            </w:r>
            <w:r w:rsidRPr="00A720D0">
              <w:rPr>
                <w:rStyle w:val="iaj"/>
                <w:rFonts w:ascii="Cambria" w:hAnsi="Cambria"/>
                <w:i/>
                <w:iCs/>
                <w:color w:val="00A9E0"/>
                <w:spacing w:val="2"/>
                <w:sz w:val="20"/>
                <w:szCs w:val="20"/>
                <w:highlight w:val="yellow"/>
                <w:u w:val="single"/>
              </w:rPr>
              <w:t>.</w:t>
            </w:r>
            <w:bookmarkEnd w:id="47"/>
            <w:r w:rsidRPr="00A720D0">
              <w:rPr>
                <w:rFonts w:ascii="Cambria" w:hAnsi="Cambria"/>
                <w:b/>
                <w:bCs/>
                <w:sz w:val="20"/>
                <w:szCs w:val="20"/>
                <w:highlight w:val="yellow"/>
              </w:rPr>
              <w:t> </w:t>
            </w:r>
            <w:r w:rsidRPr="00A720D0">
              <w:rPr>
                <w:rFonts w:ascii="Cambria" w:hAnsi="Cambria"/>
                <w:sz w:val="20"/>
                <w:szCs w:val="20"/>
                <w:highlight w:val="yellow"/>
              </w:rPr>
              <w:t xml:space="preserve"> El funcionario competente que, dentro del término de firmeza de la declaración, evidencie que una operación o serie de operaciones puede constituir abuso en materia tributaria, en los términos del artículo </w:t>
            </w:r>
            <w:r w:rsidRPr="00A720D0">
              <w:rPr>
                <w:rFonts w:ascii="Cambria" w:hAnsi="Cambria"/>
                <w:spacing w:val="2"/>
                <w:sz w:val="20"/>
                <w:szCs w:val="20"/>
                <w:highlight w:val="yellow"/>
              </w:rPr>
              <w:t>869</w:t>
            </w:r>
            <w:r w:rsidRPr="00A720D0">
              <w:rPr>
                <w:rFonts w:ascii="Cambria" w:hAnsi="Cambria"/>
                <w:sz w:val="20"/>
                <w:szCs w:val="20"/>
                <w:highlight w:val="yellow"/>
              </w:rPr>
              <w:t>, deberá emitir un emplazamiento especial explicando las razones en las que se basa, sustentadas si quiera en prueba sumaria. Dicho emplazamiento especial por abuso en materia tributaria deberá notificarse al contribuyente de conformidad con lo dispuesto en los artículos </w:t>
            </w:r>
            <w:r w:rsidRPr="00A720D0">
              <w:rPr>
                <w:rFonts w:ascii="Cambria" w:hAnsi="Cambria"/>
                <w:spacing w:val="2"/>
                <w:sz w:val="20"/>
                <w:szCs w:val="20"/>
                <w:highlight w:val="yellow"/>
              </w:rPr>
              <w:t>565</w:t>
            </w:r>
            <w:r w:rsidRPr="00A720D0">
              <w:rPr>
                <w:rFonts w:ascii="Cambria" w:hAnsi="Cambria"/>
                <w:sz w:val="20"/>
                <w:szCs w:val="20"/>
                <w:highlight w:val="yellow"/>
              </w:rPr>
              <w:t> y siguientes de este Estatuto.</w:t>
            </w:r>
          </w:p>
          <w:p w:rsidR="00D309F4" w:rsidRPr="00A720D0" w:rsidRDefault="00D309F4" w:rsidP="00D309F4">
            <w:pPr>
              <w:jc w:val="both"/>
              <w:rPr>
                <w:rFonts w:ascii="Cambria" w:hAnsi="Cambria"/>
                <w:sz w:val="20"/>
                <w:szCs w:val="20"/>
                <w:highlight w:val="yellow"/>
              </w:rPr>
            </w:pPr>
          </w:p>
          <w:p w:rsidR="00D309F4" w:rsidRPr="00A720D0" w:rsidRDefault="00D309F4" w:rsidP="00D309F4">
            <w:pPr>
              <w:jc w:val="both"/>
              <w:rPr>
                <w:rFonts w:ascii="Cambria" w:hAnsi="Cambria"/>
                <w:sz w:val="20"/>
                <w:szCs w:val="20"/>
                <w:highlight w:val="yellow"/>
              </w:rPr>
            </w:pPr>
            <w:r w:rsidRPr="00A720D0">
              <w:rPr>
                <w:rFonts w:ascii="Cambria" w:hAnsi="Cambria"/>
                <w:sz w:val="20"/>
                <w:szCs w:val="20"/>
                <w:highlight w:val="yellow"/>
              </w:rPr>
              <w:t xml:space="preserve">Una vez notificado el emplazamiento especial por abuso en materia tributaria, el contribuyente dispondrá de un </w:t>
            </w:r>
            <w:r w:rsidRPr="00A720D0">
              <w:rPr>
                <w:rFonts w:ascii="Cambria" w:hAnsi="Cambria"/>
                <w:sz w:val="20"/>
                <w:szCs w:val="20"/>
                <w:highlight w:val="yellow"/>
              </w:rPr>
              <w:lastRenderedPageBreak/>
              <w:t>término de tres (3) meses para contestarlo, aportando y/o solicitando las pruebas que considere pertinentes, tiempo durante el cual se suspenderá el término de firmeza de la declaración.</w:t>
            </w:r>
          </w:p>
          <w:p w:rsidR="00D309F4" w:rsidRPr="00A720D0" w:rsidRDefault="00D309F4" w:rsidP="00D309F4">
            <w:pPr>
              <w:jc w:val="both"/>
              <w:rPr>
                <w:rFonts w:ascii="Cambria" w:hAnsi="Cambria"/>
                <w:sz w:val="20"/>
                <w:szCs w:val="20"/>
                <w:highlight w:val="yellow"/>
              </w:rPr>
            </w:pPr>
          </w:p>
          <w:p w:rsidR="00D309F4" w:rsidRPr="00A720D0" w:rsidRDefault="00D309F4" w:rsidP="00D309F4">
            <w:pPr>
              <w:jc w:val="both"/>
              <w:rPr>
                <w:rFonts w:ascii="Cambria" w:hAnsi="Cambria"/>
                <w:sz w:val="20"/>
                <w:szCs w:val="20"/>
                <w:highlight w:val="yellow"/>
              </w:rPr>
            </w:pPr>
            <w:r w:rsidRPr="00A720D0">
              <w:rPr>
                <w:rFonts w:ascii="Cambria" w:hAnsi="Cambria"/>
                <w:sz w:val="20"/>
                <w:szCs w:val="20"/>
                <w:highlight w:val="yellow"/>
              </w:rPr>
              <w:t>Vencido el término de que trata el inciso anterior, el funcionario que viene conociendo de la investigación deberá emitir requerimiento especial o emplazamiento previo por no declarar, según el caso, en los términos de los artículos </w:t>
            </w:r>
            <w:r w:rsidRPr="00A720D0">
              <w:rPr>
                <w:rFonts w:ascii="Cambria" w:hAnsi="Cambria"/>
                <w:spacing w:val="2"/>
                <w:sz w:val="20"/>
                <w:szCs w:val="20"/>
                <w:highlight w:val="yellow"/>
              </w:rPr>
              <w:t>703</w:t>
            </w:r>
            <w:r w:rsidRPr="00A720D0">
              <w:rPr>
                <w:rFonts w:ascii="Cambria" w:hAnsi="Cambria"/>
                <w:sz w:val="20"/>
                <w:szCs w:val="20"/>
                <w:highlight w:val="yellow"/>
              </w:rPr>
              <w:t> y </w:t>
            </w:r>
            <w:r w:rsidRPr="00A720D0">
              <w:rPr>
                <w:rFonts w:ascii="Cambria" w:hAnsi="Cambria"/>
                <w:spacing w:val="2"/>
                <w:sz w:val="20"/>
                <w:szCs w:val="20"/>
                <w:highlight w:val="yellow"/>
              </w:rPr>
              <w:t>715</w:t>
            </w:r>
            <w:r w:rsidRPr="00A720D0">
              <w:rPr>
                <w:rFonts w:ascii="Cambria" w:hAnsi="Cambria"/>
                <w:sz w:val="20"/>
                <w:szCs w:val="20"/>
                <w:highlight w:val="yellow"/>
              </w:rPr>
              <w:t xml:space="preserve">, previo visto bueno del correspondiente Director Seccional y de un delegado del Director de Gestión de Fiscalización. Una vez notificado el requerimiento especial o el emplazamiento previo por no declarar, se deberá seguir el trámite respectivo, según el caso, determinado en este Estatuto. En el requerimiento especial se propondrá una </w:t>
            </w:r>
            <w:proofErr w:type="spellStart"/>
            <w:r w:rsidRPr="00A720D0">
              <w:rPr>
                <w:rFonts w:ascii="Cambria" w:hAnsi="Cambria"/>
                <w:sz w:val="20"/>
                <w:szCs w:val="20"/>
                <w:highlight w:val="yellow"/>
              </w:rPr>
              <w:t>recaracterización</w:t>
            </w:r>
            <w:proofErr w:type="spellEnd"/>
            <w:r w:rsidRPr="00A720D0">
              <w:rPr>
                <w:rFonts w:ascii="Cambria" w:hAnsi="Cambria"/>
                <w:sz w:val="20"/>
                <w:szCs w:val="20"/>
                <w:highlight w:val="yellow"/>
              </w:rPr>
              <w:t xml:space="preserve"> o reconfiguración de la operación o serie de operaciones que constituyan abuso en materia tributaria, de acuerdo con el acervo probatorio recaudado, así como cualquier otra modificación de la declaración privada, sin perjuicio de las demás modificaciones a la declaración tributaria a que haya lugar. De igual forma se procederá cuando se emita emplazamiento previo por no declarar.</w:t>
            </w:r>
          </w:p>
          <w:p w:rsidR="00D309F4" w:rsidRPr="00A720D0" w:rsidRDefault="00D309F4" w:rsidP="00D309F4">
            <w:pPr>
              <w:jc w:val="both"/>
              <w:rPr>
                <w:rFonts w:ascii="Cambria" w:hAnsi="Cambria"/>
                <w:sz w:val="20"/>
                <w:szCs w:val="20"/>
                <w:highlight w:val="yellow"/>
              </w:rPr>
            </w:pPr>
          </w:p>
          <w:p w:rsidR="00D309F4" w:rsidRPr="00A720D0" w:rsidRDefault="00D309F4" w:rsidP="00D309F4">
            <w:pPr>
              <w:jc w:val="both"/>
              <w:rPr>
                <w:rFonts w:ascii="Cambria" w:hAnsi="Cambria"/>
                <w:sz w:val="20"/>
                <w:szCs w:val="20"/>
                <w:highlight w:val="yellow"/>
              </w:rPr>
            </w:pPr>
            <w:r w:rsidRPr="00A720D0">
              <w:rPr>
                <w:rStyle w:val="baj"/>
                <w:rFonts w:ascii="Cambria" w:hAnsi="Cambria"/>
                <w:b/>
                <w:bCs/>
                <w:color w:val="343536"/>
                <w:spacing w:val="2"/>
                <w:sz w:val="20"/>
                <w:szCs w:val="20"/>
                <w:highlight w:val="yellow"/>
              </w:rPr>
              <w:t>PARÁGRAFO 1o.</w:t>
            </w:r>
            <w:r w:rsidRPr="00A720D0">
              <w:rPr>
                <w:rFonts w:ascii="Cambria" w:hAnsi="Cambria"/>
                <w:sz w:val="20"/>
                <w:szCs w:val="20"/>
                <w:highlight w:val="yellow"/>
              </w:rPr>
              <w:t> La motivación de que trata este artículo deberá contener la descripción de los hechos, actos u omisiones que constituyen la conducta abusiva, las pruebas en que se funda la Administración Tributaria respecto de tales hechos, actos u omisiones y la referencia expresa a la valoración de las pruebas que haya presentado el contribuyente para desvirtuar la conducta abusiva. Para todos los efectos del presente artículo, se dará plena y cabal aplicación a las disposiciones y principios en materia procedimental y probatoria pertinentes.</w:t>
            </w:r>
          </w:p>
          <w:p w:rsidR="00D309F4" w:rsidRPr="00A720D0" w:rsidRDefault="00D309F4" w:rsidP="00D309F4">
            <w:pPr>
              <w:jc w:val="both"/>
              <w:rPr>
                <w:rFonts w:ascii="Cambria" w:hAnsi="Cambria"/>
                <w:sz w:val="20"/>
                <w:szCs w:val="20"/>
                <w:highlight w:val="yellow"/>
              </w:rPr>
            </w:pPr>
          </w:p>
          <w:p w:rsidR="00D309F4" w:rsidRPr="00A720D0" w:rsidRDefault="00D309F4" w:rsidP="00D309F4">
            <w:pPr>
              <w:jc w:val="both"/>
              <w:rPr>
                <w:rFonts w:ascii="Cambria" w:hAnsi="Cambria"/>
                <w:sz w:val="20"/>
                <w:szCs w:val="20"/>
                <w:highlight w:val="yellow"/>
              </w:rPr>
            </w:pPr>
            <w:r w:rsidRPr="00A720D0">
              <w:rPr>
                <w:rStyle w:val="baj"/>
                <w:rFonts w:ascii="Cambria" w:hAnsi="Cambria"/>
                <w:b/>
                <w:bCs/>
                <w:color w:val="343536"/>
                <w:spacing w:val="2"/>
                <w:sz w:val="20"/>
                <w:szCs w:val="20"/>
                <w:highlight w:val="yellow"/>
              </w:rPr>
              <w:t>PARÁGRAFO 2o.</w:t>
            </w:r>
            <w:r w:rsidRPr="00A720D0">
              <w:rPr>
                <w:rFonts w:ascii="Cambria" w:hAnsi="Cambria"/>
                <w:sz w:val="20"/>
                <w:szCs w:val="20"/>
                <w:highlight w:val="yellow"/>
              </w:rPr>
              <w:t xml:space="preserve"> El procedimiento de que trata el presente artículo tiene como propósito la reconfiguración o </w:t>
            </w:r>
            <w:proofErr w:type="spellStart"/>
            <w:r w:rsidRPr="00A720D0">
              <w:rPr>
                <w:rFonts w:ascii="Cambria" w:hAnsi="Cambria"/>
                <w:sz w:val="20"/>
                <w:szCs w:val="20"/>
                <w:highlight w:val="yellow"/>
              </w:rPr>
              <w:t>recaracterización</w:t>
            </w:r>
            <w:proofErr w:type="spellEnd"/>
            <w:r w:rsidRPr="00A720D0">
              <w:rPr>
                <w:rFonts w:ascii="Cambria" w:hAnsi="Cambria"/>
                <w:sz w:val="20"/>
                <w:szCs w:val="20"/>
                <w:highlight w:val="yellow"/>
              </w:rPr>
              <w:t xml:space="preserve"> de una operación o serie de operaciones que constituyan o puedan constituir abuso en materia tributaria.</w:t>
            </w:r>
          </w:p>
          <w:p w:rsidR="00D309F4" w:rsidRPr="00A720D0" w:rsidRDefault="00D309F4" w:rsidP="00D309F4">
            <w:pPr>
              <w:jc w:val="both"/>
              <w:rPr>
                <w:rFonts w:ascii="Cambria" w:hAnsi="Cambria"/>
                <w:b/>
                <w:bCs/>
                <w:color w:val="000000" w:themeColor="text1"/>
                <w:sz w:val="20"/>
                <w:szCs w:val="20"/>
                <w:highlight w:val="yellow"/>
              </w:rPr>
            </w:pPr>
          </w:p>
        </w:tc>
        <w:tc>
          <w:tcPr>
            <w:tcW w:w="4865" w:type="dxa"/>
          </w:tcPr>
          <w:p w:rsidR="00D309F4" w:rsidRPr="00D309F4" w:rsidRDefault="00A720D0" w:rsidP="00D309F4">
            <w:pPr>
              <w:jc w:val="both"/>
              <w:rPr>
                <w:rFonts w:ascii="Cambria" w:hAnsi="Cambria"/>
                <w:b/>
                <w:bCs/>
                <w:color w:val="000000" w:themeColor="text1"/>
                <w:sz w:val="20"/>
                <w:szCs w:val="20"/>
              </w:rPr>
            </w:pPr>
            <w:r w:rsidRPr="00A720D0">
              <w:rPr>
                <w:rFonts w:ascii="Cambria" w:hAnsi="Cambria"/>
                <w:b/>
                <w:bCs/>
                <w:color w:val="FF0000"/>
                <w:sz w:val="20"/>
                <w:szCs w:val="20"/>
              </w:rPr>
              <w:lastRenderedPageBreak/>
              <w:t xml:space="preserve">Derogado con artículo 95 proyecto de </w:t>
            </w:r>
            <w:r w:rsidR="00852E78">
              <w:rPr>
                <w:rFonts w:ascii="Cambria" w:hAnsi="Cambria"/>
                <w:b/>
                <w:bCs/>
                <w:color w:val="FF0000"/>
                <w:sz w:val="20"/>
                <w:szCs w:val="20"/>
              </w:rPr>
              <w:t>Ley septiembre de 2025</w:t>
            </w:r>
          </w:p>
        </w:tc>
      </w:tr>
      <w:tr w:rsidR="00D309F4" w:rsidTr="0059378C">
        <w:tc>
          <w:tcPr>
            <w:tcW w:w="4958" w:type="dxa"/>
          </w:tcPr>
          <w:p w:rsidR="002E7F31" w:rsidRPr="002E7F31" w:rsidRDefault="002E7F31" w:rsidP="002E7F31">
            <w:pPr>
              <w:jc w:val="both"/>
              <w:rPr>
                <w:rFonts w:ascii="Cambria" w:hAnsi="Cambria"/>
                <w:color w:val="454545"/>
                <w:sz w:val="20"/>
                <w:szCs w:val="20"/>
                <w:highlight w:val="yellow"/>
              </w:rPr>
            </w:pPr>
            <w:bookmarkStart w:id="48" w:name="881-1"/>
            <w:r w:rsidRPr="002E7F31">
              <w:rPr>
                <w:rFonts w:ascii="Cambria" w:hAnsi="Cambria"/>
                <w:b/>
                <w:bCs/>
                <w:color w:val="000000" w:themeColor="text1"/>
                <w:sz w:val="20"/>
                <w:szCs w:val="20"/>
                <w:highlight w:val="yellow"/>
              </w:rPr>
              <w:t>Artículo 881-1. Control sobre operaciones y montos exentos del gravamen a los movimientos financieros.</w:t>
            </w:r>
            <w:bookmarkEnd w:id="48"/>
            <w:r w:rsidRPr="002E7F31">
              <w:rPr>
                <w:rFonts w:ascii="Cambria" w:hAnsi="Cambria"/>
                <w:b/>
                <w:bCs/>
                <w:color w:val="000000" w:themeColor="text1"/>
                <w:sz w:val="20"/>
                <w:szCs w:val="20"/>
                <w:highlight w:val="yellow"/>
              </w:rPr>
              <w:t> </w:t>
            </w:r>
            <w:r w:rsidRPr="002E7F31">
              <w:rPr>
                <w:rFonts w:ascii="Cambria" w:hAnsi="Cambria"/>
                <w:sz w:val="20"/>
                <w:szCs w:val="20"/>
                <w:highlight w:val="yellow"/>
              </w:rPr>
              <w:t xml:space="preserve"> Las entidades financieras y/o cooperativas de naturaleza financiera o de ahorro y crédito vigiladas par las Superintendencias Financiera o de Economía Solidaria que administren o en las que se abran cuentas de ahorro, depósitos electrónicos o tarjetas prepago abiertas o administradas deberán adoptar un sistema de información que permita la verificación, control y retención del Gravamen a los Movimientos Financieros en los términos del </w:t>
            </w:r>
            <w:r w:rsidRPr="002E7F31">
              <w:rPr>
                <w:rFonts w:ascii="Cambria" w:hAnsi="Cambria"/>
                <w:sz w:val="20"/>
                <w:szCs w:val="20"/>
                <w:highlight w:val="yellow"/>
              </w:rPr>
              <w:lastRenderedPageBreak/>
              <w:t>artículo </w:t>
            </w:r>
            <w:hyperlink r:id="rId107" w:anchor="879" w:history="1">
              <w:r w:rsidRPr="002E7F31">
                <w:rPr>
                  <w:rStyle w:val="Hipervnculo"/>
                  <w:rFonts w:ascii="Cambria" w:hAnsi="Cambria"/>
                  <w:color w:val="00A9E0"/>
                  <w:spacing w:val="2"/>
                  <w:sz w:val="20"/>
                  <w:szCs w:val="20"/>
                  <w:highlight w:val="yellow"/>
                </w:rPr>
                <w:t>879</w:t>
              </w:r>
            </w:hyperlink>
            <w:r w:rsidRPr="002E7F31">
              <w:rPr>
                <w:rFonts w:ascii="Cambria" w:hAnsi="Cambria"/>
                <w:sz w:val="20"/>
                <w:szCs w:val="20"/>
                <w:highlight w:val="yellow"/>
              </w:rPr>
              <w:t> del Estatuto Tributario de forma que se permita aplicar la exención de trescientos cincuenta (350) UVT mensuales señalada en el numeral 1 del Artículo </w:t>
            </w:r>
            <w:hyperlink r:id="rId108" w:anchor="879" w:history="1">
              <w:r w:rsidRPr="002E7F31">
                <w:rPr>
                  <w:rStyle w:val="Hipervnculo"/>
                  <w:rFonts w:ascii="Cambria" w:hAnsi="Cambria"/>
                  <w:color w:val="00A9E0"/>
                  <w:spacing w:val="2"/>
                  <w:sz w:val="20"/>
                  <w:szCs w:val="20"/>
                  <w:highlight w:val="yellow"/>
                </w:rPr>
                <w:t>879</w:t>
              </w:r>
            </w:hyperlink>
            <w:r w:rsidRPr="002E7F31">
              <w:rPr>
                <w:rFonts w:ascii="Cambria" w:hAnsi="Cambria"/>
                <w:sz w:val="20"/>
                <w:szCs w:val="20"/>
                <w:highlight w:val="yellow"/>
              </w:rPr>
              <w:t> del Estatuto Tributario sin la necesidad de marcar una única cuenta.</w:t>
            </w:r>
          </w:p>
          <w:p w:rsidR="002E7F31" w:rsidRPr="002E7F31" w:rsidRDefault="002E7F31" w:rsidP="002E7F31">
            <w:pPr>
              <w:jc w:val="both"/>
              <w:rPr>
                <w:rFonts w:ascii="Cambria" w:hAnsi="Cambria"/>
                <w:color w:val="454545"/>
                <w:sz w:val="20"/>
                <w:szCs w:val="20"/>
                <w:highlight w:val="yellow"/>
              </w:rPr>
            </w:pPr>
            <w:r w:rsidRPr="002E7F31">
              <w:rPr>
                <w:rFonts w:ascii="Cambria" w:hAnsi="Cambria"/>
                <w:color w:val="454545"/>
                <w:sz w:val="20"/>
                <w:szCs w:val="20"/>
                <w:highlight w:val="yellow"/>
              </w:rPr>
              <w:t xml:space="preserve"> </w:t>
            </w:r>
          </w:p>
          <w:p w:rsidR="00D309F4" w:rsidRPr="002E7F31" w:rsidRDefault="002E7F31" w:rsidP="002E7F31">
            <w:pPr>
              <w:jc w:val="both"/>
              <w:rPr>
                <w:rFonts w:ascii="Cambria" w:hAnsi="Cambria"/>
                <w:color w:val="454545"/>
                <w:sz w:val="20"/>
                <w:szCs w:val="20"/>
                <w:highlight w:val="yellow"/>
              </w:rPr>
            </w:pPr>
            <w:r w:rsidRPr="002E7F31">
              <w:rPr>
                <w:rStyle w:val="baj"/>
                <w:rFonts w:ascii="Cambria" w:hAnsi="Cambria"/>
                <w:b/>
                <w:bCs/>
                <w:color w:val="343536"/>
                <w:spacing w:val="2"/>
                <w:sz w:val="20"/>
                <w:szCs w:val="20"/>
                <w:highlight w:val="yellow"/>
              </w:rPr>
              <w:t>PARÁGRAFO TRANSITORIO.</w:t>
            </w:r>
            <w:r w:rsidRPr="002E7F31">
              <w:rPr>
                <w:rFonts w:ascii="Cambria" w:hAnsi="Cambria"/>
                <w:sz w:val="20"/>
                <w:szCs w:val="20"/>
                <w:highlight w:val="yellow"/>
              </w:rPr>
              <w:t> Lo dispuesto en el presente artículo entrará en aplicación cuando se desarrolle el sistema de información correspondiente por parte de las entidades vigiladas por las Superintendencias Financieras o de Economía Solidaria, a más tardar, a los dos (2) años siguientes a la entrada en vigencia de la presente ley. Hasta tanto el sistema de información previsto en este Artículo no se encuentre en funcionamiento, se continuará aplicando lo dispuesto en el numeral 1 del Artículo </w:t>
            </w:r>
            <w:r w:rsidRPr="002E7F31">
              <w:rPr>
                <w:rFonts w:ascii="Cambria" w:hAnsi="Cambria"/>
                <w:spacing w:val="2"/>
                <w:sz w:val="20"/>
                <w:szCs w:val="20"/>
                <w:highlight w:val="yellow"/>
              </w:rPr>
              <w:t>879</w:t>
            </w:r>
            <w:r w:rsidRPr="002E7F31">
              <w:rPr>
                <w:rFonts w:ascii="Cambria" w:hAnsi="Cambria"/>
                <w:sz w:val="20"/>
                <w:szCs w:val="20"/>
                <w:highlight w:val="yellow"/>
              </w:rPr>
              <w:t> del Estatuto Tributario.</w:t>
            </w:r>
          </w:p>
          <w:p w:rsidR="002E7F31" w:rsidRPr="002E7F31" w:rsidRDefault="002E7F31" w:rsidP="002E7F31">
            <w:pPr>
              <w:jc w:val="both"/>
              <w:rPr>
                <w:rFonts w:ascii="Cambria" w:hAnsi="Cambria"/>
                <w:b/>
                <w:bCs/>
                <w:color w:val="000000" w:themeColor="text1"/>
                <w:sz w:val="20"/>
                <w:szCs w:val="20"/>
                <w:highlight w:val="yellow"/>
              </w:rPr>
            </w:pPr>
          </w:p>
        </w:tc>
        <w:tc>
          <w:tcPr>
            <w:tcW w:w="4865" w:type="dxa"/>
          </w:tcPr>
          <w:p w:rsidR="00D309F4" w:rsidRPr="005F076B" w:rsidRDefault="002E7F31" w:rsidP="00D309F4">
            <w:pPr>
              <w:jc w:val="both"/>
              <w:rPr>
                <w:rFonts w:ascii="Cambria" w:hAnsi="Cambria"/>
                <w:b/>
                <w:bCs/>
                <w:color w:val="000000" w:themeColor="text1"/>
                <w:sz w:val="20"/>
                <w:szCs w:val="20"/>
              </w:rPr>
            </w:pPr>
            <w:r w:rsidRPr="002E7F31">
              <w:rPr>
                <w:rFonts w:ascii="Cambria" w:hAnsi="Cambria"/>
                <w:b/>
                <w:bCs/>
                <w:color w:val="FF0000"/>
                <w:sz w:val="20"/>
                <w:szCs w:val="20"/>
              </w:rPr>
              <w:lastRenderedPageBreak/>
              <w:t xml:space="preserve">Derogado con artículo 95 del proyecto de </w:t>
            </w:r>
            <w:r w:rsidR="00852E78">
              <w:rPr>
                <w:rFonts w:ascii="Cambria" w:hAnsi="Cambria"/>
                <w:b/>
                <w:bCs/>
                <w:color w:val="FF0000"/>
                <w:sz w:val="20"/>
                <w:szCs w:val="20"/>
              </w:rPr>
              <w:t>Ley septiembre de 2025</w:t>
            </w:r>
          </w:p>
        </w:tc>
      </w:tr>
    </w:tbl>
    <w:p w:rsidR="0065720A" w:rsidRDefault="0065720A">
      <w:pPr>
        <w:rPr>
          <w:lang w:val="es-ES"/>
        </w:rPr>
      </w:pPr>
    </w:p>
    <w:p w:rsidR="00CC04F8" w:rsidRDefault="00CC04F8" w:rsidP="00CC04F8">
      <w:pPr>
        <w:pStyle w:val="Prrafodelista"/>
        <w:numPr>
          <w:ilvl w:val="0"/>
          <w:numId w:val="1"/>
        </w:numPr>
        <w:rPr>
          <w:rFonts w:ascii="Calibri" w:hAnsi="Calibri"/>
          <w:b/>
          <w:color w:val="0070C0"/>
          <w:u w:val="single"/>
          <w:lang w:val="es-ES"/>
        </w:rPr>
      </w:pPr>
      <w:r w:rsidRPr="00B95A0D">
        <w:rPr>
          <w:rFonts w:ascii="Calibri" w:hAnsi="Calibri"/>
          <w:b/>
          <w:color w:val="0070C0"/>
          <w:u w:val="single"/>
          <w:lang w:val="es-ES"/>
        </w:rPr>
        <w:t>Normas por fuera del Estatuto Tributario Nacional</w:t>
      </w:r>
    </w:p>
    <w:p w:rsidR="009E279D" w:rsidRDefault="009E279D" w:rsidP="001D7901">
      <w:pPr>
        <w:rPr>
          <w:rFonts w:ascii="Calibri" w:hAnsi="Calibri"/>
          <w:b/>
          <w:color w:val="FF0000"/>
          <w:lang w:val="es-ES"/>
        </w:rPr>
      </w:pPr>
    </w:p>
    <w:p w:rsidR="009E279D" w:rsidRDefault="009E279D" w:rsidP="001D7901">
      <w:pPr>
        <w:rPr>
          <w:rFonts w:ascii="Calibri" w:hAnsi="Calibri"/>
          <w:b/>
          <w:color w:val="FF0000"/>
          <w:lang w:val="es-ES"/>
        </w:rPr>
      </w:pPr>
    </w:p>
    <w:p w:rsidR="009E279D" w:rsidRPr="009E279D" w:rsidRDefault="009E279D" w:rsidP="009E279D">
      <w:pPr>
        <w:rPr>
          <w:rFonts w:ascii="Calibri" w:hAnsi="Calibri"/>
          <w:b/>
          <w:color w:val="FF0000"/>
          <w:lang w:val="es-ES"/>
        </w:rPr>
      </w:pPr>
      <w:r w:rsidRPr="009E279D">
        <w:rPr>
          <w:rFonts w:ascii="Calibri" w:hAnsi="Calibri"/>
          <w:b/>
          <w:color w:val="FF0000"/>
          <w:lang w:val="es-ES"/>
        </w:rPr>
        <w:t>Ley 142 de julio 11 de 1994 por la cual se establece el régimen de los servicios públicos domiciliarios y se dictan otras disposiciones.</w:t>
      </w:r>
    </w:p>
    <w:p w:rsidR="009E279D" w:rsidRDefault="009E279D" w:rsidP="009E279D"/>
    <w:tbl>
      <w:tblPr>
        <w:tblStyle w:val="Tablaconcuadrcula"/>
        <w:tblW w:w="0" w:type="auto"/>
        <w:tblLook w:val="04A0" w:firstRow="1" w:lastRow="0" w:firstColumn="1" w:lastColumn="0" w:noHBand="0" w:noVBand="1"/>
      </w:tblPr>
      <w:tblGrid>
        <w:gridCol w:w="4414"/>
        <w:gridCol w:w="4414"/>
      </w:tblGrid>
      <w:tr w:rsidR="009E279D" w:rsidRPr="0065720A" w:rsidTr="0092734A">
        <w:tc>
          <w:tcPr>
            <w:tcW w:w="4414" w:type="dxa"/>
          </w:tcPr>
          <w:p w:rsidR="009E279D" w:rsidRPr="001D7901" w:rsidRDefault="009E279D" w:rsidP="0092734A">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9E279D" w:rsidRPr="001D7901" w:rsidRDefault="009E279D" w:rsidP="0092734A">
            <w:pPr>
              <w:jc w:val="center"/>
              <w:rPr>
                <w:rFonts w:ascii="Cambria" w:hAnsi="Cambria"/>
                <w:b/>
                <w:bCs/>
                <w:sz w:val="20"/>
                <w:szCs w:val="20"/>
              </w:rPr>
            </w:pPr>
            <w:r w:rsidRPr="001D7901">
              <w:rPr>
                <w:rFonts w:ascii="Cambria" w:hAnsi="Cambria"/>
                <w:b/>
                <w:bCs/>
                <w:sz w:val="20"/>
                <w:szCs w:val="20"/>
              </w:rPr>
              <w:t>Nueva versión con que quedaría la norma</w:t>
            </w:r>
          </w:p>
        </w:tc>
      </w:tr>
      <w:tr w:rsidR="009E279D" w:rsidTr="0092734A">
        <w:tc>
          <w:tcPr>
            <w:tcW w:w="4414" w:type="dxa"/>
          </w:tcPr>
          <w:p w:rsidR="009E279D" w:rsidRDefault="009E279D" w:rsidP="0092734A">
            <w:pPr>
              <w:jc w:val="both"/>
              <w:rPr>
                <w:rFonts w:ascii="Cambria" w:hAnsi="Cambria"/>
                <w:sz w:val="20"/>
                <w:szCs w:val="20"/>
              </w:rPr>
            </w:pPr>
            <w:bookmarkStart w:id="49" w:name="85"/>
            <w:r w:rsidRPr="009E279D">
              <w:rPr>
                <w:rFonts w:ascii="Cambria" w:hAnsi="Cambria"/>
                <w:b/>
                <w:bCs/>
                <w:color w:val="000000" w:themeColor="text1"/>
                <w:sz w:val="20"/>
                <w:szCs w:val="20"/>
              </w:rPr>
              <w:t>Artículo 85. Contribuciones especiales</w:t>
            </w:r>
            <w:r w:rsidRPr="009E279D">
              <w:rPr>
                <w:rFonts w:ascii="Cambria" w:hAnsi="Cambria"/>
                <w:b/>
                <w:bCs/>
                <w:color w:val="BE9E55"/>
                <w:sz w:val="20"/>
                <w:szCs w:val="20"/>
              </w:rPr>
              <w:t>.</w:t>
            </w:r>
            <w:bookmarkEnd w:id="49"/>
            <w:r w:rsidRPr="009E279D">
              <w:rPr>
                <w:rFonts w:ascii="Cambria" w:hAnsi="Cambria"/>
                <w:sz w:val="20"/>
                <w:szCs w:val="20"/>
              </w:rPr>
              <w:t xml:space="preserve"> Con el fin de recuperar los costos del servicio de regulación que preste cada comisión, y los de control y vigilancia que preste </w:t>
            </w:r>
            <w:r w:rsidRPr="009E279D">
              <w:rPr>
                <w:rFonts w:ascii="Cambria" w:hAnsi="Cambria"/>
                <w:sz w:val="20"/>
                <w:szCs w:val="20"/>
                <w:highlight w:val="yellow"/>
              </w:rPr>
              <w:t>el Superintendente</w:t>
            </w:r>
            <w:r w:rsidRPr="009E279D">
              <w:rPr>
                <w:rFonts w:ascii="Cambria" w:hAnsi="Cambria"/>
                <w:sz w:val="20"/>
                <w:szCs w:val="20"/>
              </w:rPr>
              <w:t>, las entidades sometidas a su </w:t>
            </w:r>
            <w:r w:rsidRPr="009E279D">
              <w:rPr>
                <w:rFonts w:ascii="Cambria" w:hAnsi="Cambria"/>
                <w:sz w:val="20"/>
                <w:szCs w:val="20"/>
                <w:u w:val="single"/>
              </w:rPr>
              <w:t>regulación</w:t>
            </w:r>
            <w:r w:rsidRPr="009E279D">
              <w:rPr>
                <w:rFonts w:ascii="Cambria" w:hAnsi="Cambria"/>
                <w:sz w:val="20"/>
                <w:szCs w:val="20"/>
              </w:rPr>
              <w:t>, control y vigilancia, estarán sujetas a dos contribuciones, que se liquidarán y pagarán cada año conforme a las siguientes reglas:</w:t>
            </w: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r w:rsidRPr="009E279D">
              <w:rPr>
                <w:rFonts w:ascii="Cambria" w:hAnsi="Cambria"/>
                <w:sz w:val="20"/>
                <w:szCs w:val="20"/>
              </w:rPr>
              <w:t>85.1. Para definir los costos de los servicios que presten las Comisiones y la Superintendencia, se tendrán en cuenta todos los gastos de funcionamiento, y la depreciación, amortización u obsolescencia de sus activos, en el período anual respectivo.</w:t>
            </w: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85.2. La superintendencia y las comisiones presupuestarán sus gastos cada año y cobrarán dentro de los límites que enseguida se señalan, solamente la tarifa que arroje el valor necesario para cubrir su presupuesto anual.</w:t>
            </w:r>
          </w:p>
          <w:p w:rsidR="009E279D" w:rsidRP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r w:rsidRPr="009E279D">
              <w:rPr>
                <w:rFonts w:ascii="Cambria" w:hAnsi="Cambria"/>
                <w:sz w:val="20"/>
                <w:szCs w:val="20"/>
              </w:rPr>
              <w:t xml:space="preserve">La tarifa máxima de cada contribución no podrá ser superior al </w:t>
            </w:r>
            <w:r w:rsidRPr="009E279D">
              <w:rPr>
                <w:rFonts w:ascii="Cambria" w:hAnsi="Cambria"/>
                <w:sz w:val="20"/>
                <w:szCs w:val="20"/>
                <w:highlight w:val="yellow"/>
              </w:rPr>
              <w:t>uno por ciento (1%)</w:t>
            </w:r>
            <w:r w:rsidRPr="009E279D">
              <w:rPr>
                <w:rFonts w:ascii="Cambria" w:hAnsi="Cambria"/>
                <w:sz w:val="20"/>
                <w:szCs w:val="20"/>
              </w:rPr>
              <w:t xml:space="preserve"> del valor de </w:t>
            </w:r>
            <w:r w:rsidRPr="009E279D">
              <w:rPr>
                <w:rFonts w:ascii="Cambria" w:hAnsi="Cambria"/>
                <w:sz w:val="20"/>
                <w:szCs w:val="20"/>
              </w:rPr>
              <w:lastRenderedPageBreak/>
              <w:t>los gastos de funcionamiento, asociados al servicio sometido a regulación, de la entidad contribuyente en el año anterior a aquel en el que se haga el cobro, de acuerdo con los estados financieros puestos a disposición de la Superintendencia y de las Comisiones, cada una de las cuales e independientemente y con base en su estudio fijarán la tarifa correspondiente.</w:t>
            </w: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85.3. &lt;Numeral derogado, al no ser prorrogada su vigencia, por la Ley 1151 de 2007&gt;</w:t>
            </w: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85.4. El cálculo de la suma a cargo de cada contribuyente, en cuanto a los costos de regulación, se hará teniendo en cuenta los costos de la comisión que regula el sector en el cual se desempeña; y el de los costos de vigilancia, atendiendo a los de la Superintendencia.</w:t>
            </w:r>
          </w:p>
          <w:p w:rsid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85.5. La liquidación y recaudo de las contribuciones correspondientes al servicio de regulación se efectuará por las comisiones respectivas y las correspondientes al servicio de inspección, control y vigilancia estarán a cargo de la Superintendencia.</w:t>
            </w:r>
          </w:p>
          <w:p w:rsid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85.6. Una vez en firme las liquidaciones deberán ser canceladas dentro del mes siguiente. Se aplicará el mismo régimen de sanción por mora aplicable al impuesto sobre la renta y complementarios, sin perjuicio de las demás sanciones de que trata esta Ley.</w:t>
            </w:r>
          </w:p>
          <w:p w:rsidR="009E279D" w:rsidRP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r w:rsidRPr="009E279D">
              <w:rPr>
                <w:rStyle w:val="baj"/>
                <w:rFonts w:ascii="Cambria" w:hAnsi="Cambria" w:cs="Open Sans"/>
                <w:b/>
                <w:bCs/>
                <w:color w:val="000000"/>
                <w:sz w:val="20"/>
                <w:szCs w:val="20"/>
              </w:rPr>
              <w:lastRenderedPageBreak/>
              <w:t>PARÁGRAFO 1o.</w:t>
            </w:r>
            <w:r w:rsidRPr="009E279D">
              <w:rPr>
                <w:rFonts w:ascii="Cambria" w:hAnsi="Cambria"/>
                <w:sz w:val="20"/>
                <w:szCs w:val="20"/>
              </w:rPr>
              <w:t xml:space="preserve"> Las Comisiones y la Superintendencia se financiaran exclusivamente con las contribuciones a las que se refiere este artículo y con la venta de sus publicaciones. </w:t>
            </w:r>
            <w:r w:rsidRPr="009E279D">
              <w:rPr>
                <w:rFonts w:ascii="Cambria" w:hAnsi="Cambria"/>
                <w:sz w:val="20"/>
                <w:szCs w:val="20"/>
                <w:highlight w:val="yellow"/>
              </w:rPr>
              <w:t>Sin embargo, el gobierno incluirá en el presupuesto de la Nación apropiaciones suficientes para el funcionamiento de las Comisiones y de la Superintendencia durante los dos primeros años.</w:t>
            </w:r>
          </w:p>
          <w:p w:rsidR="009E279D" w:rsidRDefault="009E279D" w:rsidP="0092734A">
            <w:pPr>
              <w:jc w:val="both"/>
              <w:rPr>
                <w:rStyle w:val="baj"/>
                <w:rFonts w:ascii="Cambria" w:hAnsi="Cambria" w:cs="Open Sans"/>
                <w:b/>
                <w:bCs/>
                <w:color w:val="000000"/>
                <w:sz w:val="20"/>
                <w:szCs w:val="20"/>
              </w:rPr>
            </w:pPr>
          </w:p>
          <w:p w:rsidR="009E279D" w:rsidRPr="009E279D" w:rsidRDefault="009E279D" w:rsidP="0092734A">
            <w:pPr>
              <w:jc w:val="both"/>
              <w:rPr>
                <w:rFonts w:ascii="Cambria" w:hAnsi="Cambria"/>
                <w:sz w:val="20"/>
                <w:szCs w:val="20"/>
              </w:rPr>
            </w:pPr>
            <w:r w:rsidRPr="009E279D">
              <w:rPr>
                <w:rStyle w:val="baj"/>
                <w:rFonts w:ascii="Cambria" w:hAnsi="Cambria" w:cs="Open Sans"/>
                <w:b/>
                <w:bCs/>
                <w:color w:val="000000"/>
                <w:sz w:val="20"/>
                <w:szCs w:val="20"/>
                <w:highlight w:val="yellow"/>
              </w:rPr>
              <w:t>PARÁGRAFO 2o.</w:t>
            </w:r>
            <w:r w:rsidRPr="009E279D">
              <w:rPr>
                <w:rFonts w:ascii="Cambria" w:hAnsi="Cambria"/>
                <w:sz w:val="20"/>
                <w:szCs w:val="20"/>
                <w:highlight w:val="yellow"/>
              </w:rPr>
              <w:t> Al fijar las contribuciones especiales se eliminarán, de los gastos de funcionamiento, los gastos operativos; en las empresas del sector eléctrico, las compras de electricidad, las compras de combustibles y los peajes, cuando hubiere lugar a ello; y en las empresas de otros sectores los gastos de naturaleza similar a éstos. Estos rubros podrán ser adicionados en la misma proporción en que sean indispensables para cubrir faltantes presupuestales de las comisiones y la superintendencia.</w:t>
            </w:r>
          </w:p>
          <w:p w:rsidR="009E279D" w:rsidRPr="009E279D" w:rsidRDefault="009E279D" w:rsidP="0092734A">
            <w:pPr>
              <w:jc w:val="both"/>
              <w:rPr>
                <w:rFonts w:ascii="Cambria" w:hAnsi="Cambria"/>
                <w:sz w:val="20"/>
                <w:szCs w:val="20"/>
                <w:lang w:val="es-ES"/>
              </w:rPr>
            </w:pPr>
          </w:p>
        </w:tc>
        <w:tc>
          <w:tcPr>
            <w:tcW w:w="4414" w:type="dxa"/>
          </w:tcPr>
          <w:p w:rsidR="009E279D" w:rsidRDefault="009E279D" w:rsidP="0092734A">
            <w:pPr>
              <w:jc w:val="both"/>
              <w:rPr>
                <w:rFonts w:ascii="Cambria" w:hAnsi="Cambria"/>
                <w:sz w:val="20"/>
                <w:szCs w:val="20"/>
              </w:rPr>
            </w:pPr>
            <w:r w:rsidRPr="009E279D">
              <w:rPr>
                <w:rFonts w:ascii="Cambria" w:hAnsi="Cambria"/>
                <w:b/>
                <w:bCs/>
                <w:sz w:val="20"/>
                <w:szCs w:val="20"/>
              </w:rPr>
              <w:lastRenderedPageBreak/>
              <w:t>Artículo 85. Contribuciones especiales</w:t>
            </w:r>
            <w:r>
              <w:rPr>
                <w:rFonts w:ascii="Cambria" w:hAnsi="Cambria"/>
                <w:b/>
                <w:bCs/>
                <w:sz w:val="20"/>
                <w:szCs w:val="20"/>
              </w:rPr>
              <w:t xml:space="preserve"> (</w:t>
            </w:r>
            <w:r w:rsidRPr="001D7901">
              <w:rPr>
                <w:rFonts w:ascii="Cambria" w:hAnsi="Cambria"/>
                <w:b/>
                <w:bCs/>
                <w:color w:val="FF0000"/>
                <w:sz w:val="20"/>
                <w:szCs w:val="20"/>
              </w:rPr>
              <w:t>modificado con artículo 4</w:t>
            </w:r>
            <w:r>
              <w:rPr>
                <w:rFonts w:ascii="Cambria" w:hAnsi="Cambria"/>
                <w:b/>
                <w:bCs/>
                <w:color w:val="FF0000"/>
                <w:sz w:val="20"/>
                <w:szCs w:val="20"/>
              </w:rPr>
              <w:t>3</w:t>
            </w:r>
            <w:r w:rsidRPr="001D7901">
              <w:rPr>
                <w:rFonts w:ascii="Cambria" w:hAnsi="Cambria"/>
                <w:b/>
                <w:bCs/>
                <w:color w:val="FF0000"/>
                <w:sz w:val="20"/>
                <w:szCs w:val="20"/>
              </w:rPr>
              <w:t xml:space="preserve"> del proyecto de </w:t>
            </w:r>
            <w:r w:rsidR="00FB60A2">
              <w:rPr>
                <w:rFonts w:ascii="Cambria" w:hAnsi="Cambria"/>
                <w:b/>
                <w:bCs/>
                <w:color w:val="FF0000"/>
                <w:sz w:val="20"/>
                <w:szCs w:val="20"/>
              </w:rPr>
              <w:t>Ley de septiembre de 2025</w:t>
            </w:r>
            <w:r w:rsidRPr="001D7901">
              <w:rPr>
                <w:rFonts w:ascii="Cambria" w:hAnsi="Cambria"/>
                <w:b/>
                <w:bCs/>
                <w:color w:val="FF0000"/>
                <w:sz w:val="20"/>
                <w:szCs w:val="20"/>
              </w:rPr>
              <w:t>)</w:t>
            </w:r>
            <w:r w:rsidRPr="009E279D">
              <w:rPr>
                <w:rFonts w:ascii="Cambria" w:hAnsi="Cambria"/>
                <w:b/>
                <w:bCs/>
                <w:sz w:val="20"/>
                <w:szCs w:val="20"/>
              </w:rPr>
              <w:t xml:space="preserve">. </w:t>
            </w:r>
            <w:r w:rsidRPr="009E279D">
              <w:rPr>
                <w:rFonts w:ascii="Cambria" w:hAnsi="Cambria"/>
                <w:sz w:val="20"/>
                <w:szCs w:val="20"/>
              </w:rPr>
              <w:t xml:space="preserve">Con el fin de recuperar los costos del servicio de regulación que preste cada comisión, y los de </w:t>
            </w:r>
            <w:r w:rsidRPr="009E279D">
              <w:rPr>
                <w:rFonts w:ascii="Cambria" w:hAnsi="Cambria"/>
                <w:sz w:val="20"/>
                <w:szCs w:val="20"/>
                <w:highlight w:val="yellow"/>
              </w:rPr>
              <w:t>inspección,</w:t>
            </w:r>
            <w:r w:rsidRPr="009E279D">
              <w:rPr>
                <w:rFonts w:ascii="Cambria" w:hAnsi="Cambria"/>
                <w:sz w:val="20"/>
                <w:szCs w:val="20"/>
              </w:rPr>
              <w:t xml:space="preserve"> vigilancia y control, que preste </w:t>
            </w:r>
            <w:r w:rsidRPr="009E279D">
              <w:rPr>
                <w:rFonts w:ascii="Cambria" w:hAnsi="Cambria"/>
                <w:sz w:val="20"/>
                <w:szCs w:val="20"/>
                <w:highlight w:val="yellow"/>
              </w:rPr>
              <w:t>la Superintendencia de Servicios</w:t>
            </w:r>
            <w:r w:rsidRPr="009E279D">
              <w:rPr>
                <w:rFonts w:ascii="Cambria" w:hAnsi="Cambria"/>
                <w:sz w:val="20"/>
                <w:szCs w:val="20"/>
              </w:rPr>
              <w:t xml:space="preserve"> Públicos Domiciliarios, las entidades sometidas a su regulación, inspección, vigilancia y control, estarán sujetas a dos contribuciones, que se liquidarán y pagarán cada año conforme a las siguientes reglas: </w:t>
            </w: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 xml:space="preserve">85.1. Para definir los costos </w:t>
            </w:r>
            <w:r w:rsidRPr="009E279D">
              <w:rPr>
                <w:rFonts w:ascii="Cambria" w:hAnsi="Cambria"/>
                <w:sz w:val="20"/>
                <w:szCs w:val="20"/>
                <w:highlight w:val="yellow"/>
              </w:rPr>
              <w:t>y los gastos</w:t>
            </w:r>
            <w:r w:rsidRPr="009E279D">
              <w:rPr>
                <w:rFonts w:ascii="Cambria" w:hAnsi="Cambria"/>
                <w:sz w:val="20"/>
                <w:szCs w:val="20"/>
              </w:rPr>
              <w:t xml:space="preserve"> de los servicios que presten las Comisiones y la Superintendencia, se tendrán en cuenta todos los gastos de funcionamiento, y la depreciación, amortización u obsolescencia de sus activos, en el período anual respectivo. </w:t>
            </w: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 xml:space="preserve">85.2. La Superintendencia y las Comisiones presupuestarán sus gastos cada año y cobrarán dentro de los límites que enseguida se señalan, solamente la tarifa que arroje el valor necesario para cubrir su presupuesto anual. </w:t>
            </w: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lastRenderedPageBreak/>
              <w:t xml:space="preserve">La tarifa máxima de cada contribución no podrá ser superior al </w:t>
            </w:r>
            <w:r w:rsidRPr="009E279D">
              <w:rPr>
                <w:rFonts w:ascii="Cambria" w:hAnsi="Cambria"/>
                <w:sz w:val="20"/>
                <w:szCs w:val="20"/>
                <w:highlight w:val="yellow"/>
              </w:rPr>
              <w:t>uno punto cinco por ciento (1.5%)</w:t>
            </w:r>
            <w:r w:rsidRPr="009E279D">
              <w:rPr>
                <w:rFonts w:ascii="Cambria" w:hAnsi="Cambria"/>
                <w:sz w:val="20"/>
                <w:szCs w:val="20"/>
              </w:rPr>
              <w:t xml:space="preserve"> del valor de los gastos de funcionamiento, asociados al servicio sometido a regulación </w:t>
            </w:r>
            <w:r w:rsidRPr="009E279D">
              <w:rPr>
                <w:rFonts w:ascii="Cambria" w:hAnsi="Cambria"/>
                <w:sz w:val="20"/>
                <w:szCs w:val="20"/>
                <w:highlight w:val="yellow"/>
              </w:rPr>
              <w:t>o los de inspección, vigilancia y control,</w:t>
            </w:r>
            <w:r w:rsidRPr="009E279D">
              <w:rPr>
                <w:rFonts w:ascii="Cambria" w:hAnsi="Cambria"/>
                <w:sz w:val="20"/>
                <w:szCs w:val="20"/>
              </w:rPr>
              <w:t xml:space="preserve"> de la entidad contribuyente en el año anterior a aquel en el que se haga el cobro, de acuerdo con los estados financieros puestos a disposición de la Superintendencia y de las Comisiones, cada una de las cuales e independientemente y con base en su estudio fijarán la tarifa correspondiente. </w:t>
            </w: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highlight w:val="yellow"/>
              </w:rPr>
              <w:t>85.3. El cero punto cinco por ciento (0.5%) de la tarifa efectivamente fijada por la Superintendencia de Servicios Públicos Domiciliarios, se destinará exclusivamente al Fondo Empresarial de dicha entidad, para recuperar los gastos asociados a las intervenciones que esta realiza en ejercicio de su función de control. Dichos recursos serán administrados por el Fondo en los términos del artículo 16 de la Ley 1955 de 2003, con el fin de asegurar los recursos necesarios para garantizar la continuidad, cobertura, calidad y permanencia de los servicios públicos domiciliarios en todo el territorio nacional. Los recursos asignados al Fondo Empresarial serán adicionales a las demás fuentes de financiación previstas en la ley para el Fondo y no podrán ser utilizados para fines distintos a los aquí señalados.</w:t>
            </w:r>
            <w:r w:rsidRPr="009E279D">
              <w:rPr>
                <w:rFonts w:ascii="Cambria" w:hAnsi="Cambria"/>
                <w:sz w:val="20"/>
                <w:szCs w:val="20"/>
              </w:rPr>
              <w:t xml:space="preserve"> </w:t>
            </w:r>
          </w:p>
          <w:p w:rsidR="009E279D" w:rsidRDefault="009E279D" w:rsidP="0092734A">
            <w:pPr>
              <w:jc w:val="both"/>
              <w:rPr>
                <w:rFonts w:ascii="Cambria" w:hAnsi="Cambria"/>
                <w:sz w:val="20"/>
                <w:szCs w:val="20"/>
              </w:rPr>
            </w:pP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 xml:space="preserve">85.4. El cálculo de la suma a cargo de cada contribuyente, en cuanto a los costos de regulación, se hará teniendo en cuenta los costos de la comisión que regula el sector en el cual se desempeña; y el de los costos de </w:t>
            </w:r>
            <w:r w:rsidRPr="009E279D">
              <w:rPr>
                <w:rFonts w:ascii="Cambria" w:hAnsi="Cambria"/>
                <w:sz w:val="20"/>
                <w:szCs w:val="20"/>
                <w:highlight w:val="yellow"/>
              </w:rPr>
              <w:t>inspección</w:t>
            </w:r>
            <w:r w:rsidRPr="009E279D">
              <w:rPr>
                <w:rFonts w:ascii="Cambria" w:hAnsi="Cambria"/>
                <w:sz w:val="20"/>
                <w:szCs w:val="20"/>
              </w:rPr>
              <w:t xml:space="preserve">, vigilancia y control, atendiendo a los de la Superintendencia. </w:t>
            </w:r>
          </w:p>
          <w:p w:rsidR="009E279D" w:rsidRPr="009E279D" w:rsidRDefault="009E279D" w:rsidP="0092734A">
            <w:pPr>
              <w:jc w:val="both"/>
              <w:rPr>
                <w:rFonts w:ascii="Cambria" w:hAnsi="Cambria"/>
                <w:sz w:val="20"/>
                <w:szCs w:val="20"/>
              </w:rPr>
            </w:pPr>
          </w:p>
          <w:p w:rsidR="009E279D" w:rsidRDefault="009E279D" w:rsidP="0092734A">
            <w:pPr>
              <w:jc w:val="both"/>
              <w:rPr>
                <w:rFonts w:ascii="Cambria" w:hAnsi="Cambria"/>
                <w:sz w:val="20"/>
                <w:szCs w:val="20"/>
              </w:rPr>
            </w:pPr>
            <w:r w:rsidRPr="009E279D">
              <w:rPr>
                <w:rFonts w:ascii="Cambria" w:hAnsi="Cambria"/>
                <w:sz w:val="20"/>
                <w:szCs w:val="20"/>
              </w:rPr>
              <w:t xml:space="preserve">85.5. La liquidación, recaudo </w:t>
            </w:r>
            <w:r w:rsidRPr="009E279D">
              <w:rPr>
                <w:rFonts w:ascii="Cambria" w:hAnsi="Cambria"/>
                <w:sz w:val="20"/>
                <w:szCs w:val="20"/>
                <w:highlight w:val="yellow"/>
              </w:rPr>
              <w:t>y distribución</w:t>
            </w:r>
            <w:r w:rsidRPr="009E279D">
              <w:rPr>
                <w:rFonts w:ascii="Cambria" w:hAnsi="Cambria"/>
                <w:sz w:val="20"/>
                <w:szCs w:val="20"/>
              </w:rPr>
              <w:t xml:space="preserve"> de las contribuciones correspondientes al servicio de regulación se efectuará por las comisiones respectivas y las correspondientes al servicio de inspección, control y vigilancia estarán a cargo de la Superintendencia, </w:t>
            </w:r>
            <w:r w:rsidRPr="009E279D">
              <w:rPr>
                <w:rFonts w:ascii="Cambria" w:hAnsi="Cambria"/>
                <w:sz w:val="20"/>
                <w:szCs w:val="20"/>
                <w:highlight w:val="yellow"/>
              </w:rPr>
              <w:t>garantizando criterios de transparencia, proporcionalidad y beneficio para todo el sector de servicios públicos domiciliarios</w:t>
            </w:r>
            <w:r w:rsidRPr="009E279D">
              <w:rPr>
                <w:rFonts w:ascii="Cambria" w:hAnsi="Cambria"/>
                <w:sz w:val="20"/>
                <w:szCs w:val="20"/>
              </w:rPr>
              <w:t>.</w:t>
            </w:r>
          </w:p>
          <w:p w:rsidR="009E279D" w:rsidRPr="009E279D" w:rsidRDefault="009E279D" w:rsidP="0092734A">
            <w:pPr>
              <w:jc w:val="both"/>
              <w:rPr>
                <w:rFonts w:ascii="Cambria" w:hAnsi="Cambria"/>
                <w:sz w:val="20"/>
                <w:szCs w:val="20"/>
              </w:rPr>
            </w:pPr>
            <w:r w:rsidRPr="009E279D">
              <w:rPr>
                <w:rFonts w:ascii="Cambria" w:hAnsi="Cambria"/>
                <w:sz w:val="20"/>
                <w:szCs w:val="20"/>
              </w:rPr>
              <w:t xml:space="preserve"> </w:t>
            </w:r>
          </w:p>
          <w:p w:rsidR="009E279D" w:rsidRPr="009E279D" w:rsidRDefault="009E279D" w:rsidP="0092734A">
            <w:pPr>
              <w:jc w:val="both"/>
              <w:rPr>
                <w:rFonts w:ascii="Cambria" w:hAnsi="Cambria"/>
                <w:sz w:val="20"/>
                <w:szCs w:val="20"/>
              </w:rPr>
            </w:pPr>
            <w:r w:rsidRPr="009E279D">
              <w:rPr>
                <w:rFonts w:ascii="Cambria" w:hAnsi="Cambria"/>
                <w:sz w:val="20"/>
                <w:szCs w:val="20"/>
              </w:rPr>
              <w:t xml:space="preserve">85.6. Una vez en firme las liquidaciones deberán ser canceladas dentro del mes siguiente. Se aplicará el mismo régimen de sanción por mora aplicable al impuesto sobre la renta y complementarios, sin perjuicio de las demás sanciones de que trata esta Ley. </w:t>
            </w:r>
          </w:p>
          <w:p w:rsidR="009E279D" w:rsidRDefault="009E279D" w:rsidP="0092734A">
            <w:pPr>
              <w:jc w:val="both"/>
              <w:rPr>
                <w:rFonts w:ascii="Cambria" w:hAnsi="Cambria"/>
                <w:b/>
                <w:bCs/>
                <w:sz w:val="20"/>
                <w:szCs w:val="20"/>
              </w:rPr>
            </w:pPr>
          </w:p>
          <w:p w:rsidR="009E279D" w:rsidRPr="009E279D" w:rsidRDefault="009E279D" w:rsidP="0092734A">
            <w:pPr>
              <w:jc w:val="both"/>
              <w:rPr>
                <w:rFonts w:ascii="Cambria" w:hAnsi="Cambria"/>
                <w:sz w:val="20"/>
                <w:szCs w:val="20"/>
                <w:lang w:val="es-ES"/>
              </w:rPr>
            </w:pPr>
            <w:r>
              <w:rPr>
                <w:rFonts w:ascii="Cambria" w:hAnsi="Cambria"/>
                <w:b/>
                <w:bCs/>
                <w:sz w:val="20"/>
                <w:szCs w:val="20"/>
              </w:rPr>
              <w:t xml:space="preserve">Parágrafo 1 </w:t>
            </w:r>
            <w:r w:rsidRPr="009E279D">
              <w:rPr>
                <w:rFonts w:ascii="Cambria" w:hAnsi="Cambria"/>
                <w:sz w:val="20"/>
                <w:szCs w:val="20"/>
              </w:rPr>
              <w:t>Las Comisiones y la Superintendencia se financiarán exclusivamente con las contribuciones a las que se refiere este artículo y con la venta de sus publicaciones.</w:t>
            </w:r>
          </w:p>
        </w:tc>
      </w:tr>
    </w:tbl>
    <w:p w:rsidR="009E279D" w:rsidRDefault="009E279D" w:rsidP="009E279D">
      <w:pPr>
        <w:rPr>
          <w:lang w:val="es-ES"/>
        </w:rPr>
      </w:pPr>
    </w:p>
    <w:p w:rsidR="009E279D" w:rsidRDefault="009E279D" w:rsidP="001D7901">
      <w:pPr>
        <w:rPr>
          <w:rFonts w:ascii="Calibri" w:hAnsi="Calibri"/>
          <w:b/>
          <w:color w:val="FF0000"/>
          <w:lang w:val="es-ES"/>
        </w:rPr>
      </w:pPr>
    </w:p>
    <w:p w:rsidR="009E279D" w:rsidRDefault="009E279D" w:rsidP="001D7901">
      <w:pPr>
        <w:rPr>
          <w:rFonts w:ascii="Calibri" w:hAnsi="Calibri"/>
          <w:b/>
          <w:color w:val="FF0000"/>
          <w:lang w:val="es-ES"/>
        </w:rPr>
      </w:pPr>
    </w:p>
    <w:p w:rsidR="001D7901" w:rsidRDefault="001D7901" w:rsidP="001D7901">
      <w:pPr>
        <w:rPr>
          <w:rFonts w:ascii="Calibri" w:hAnsi="Calibri"/>
          <w:b/>
          <w:color w:val="FF0000"/>
          <w:lang w:val="es-ES"/>
        </w:rPr>
      </w:pPr>
      <w:r w:rsidRPr="001D7901">
        <w:rPr>
          <w:rFonts w:ascii="Calibri" w:hAnsi="Calibri"/>
          <w:b/>
          <w:color w:val="FF0000"/>
          <w:lang w:val="es-ES"/>
        </w:rPr>
        <w:t>Ley 399 de agosto 19 de 1997 (Por la cual se crea una tasa, se fijan unas tarifas y se autoriza al Instituto Nacional de Vigilancia de Medicamentos y Alimentos, "Invima", su cobro.</w:t>
      </w:r>
    </w:p>
    <w:p w:rsidR="001D7901" w:rsidRPr="001D7901" w:rsidRDefault="001D7901" w:rsidP="001D7901">
      <w:pPr>
        <w:rPr>
          <w:rFonts w:ascii="Calibri" w:hAnsi="Calibri"/>
          <w:b/>
          <w:color w:val="FF0000"/>
          <w:lang w:val="es-ES"/>
        </w:rPr>
      </w:pPr>
    </w:p>
    <w:tbl>
      <w:tblPr>
        <w:tblStyle w:val="Tablaconcuadrcula"/>
        <w:tblW w:w="0" w:type="auto"/>
        <w:tblLook w:val="04A0" w:firstRow="1" w:lastRow="0" w:firstColumn="1" w:lastColumn="0" w:noHBand="0" w:noVBand="1"/>
      </w:tblPr>
      <w:tblGrid>
        <w:gridCol w:w="4414"/>
        <w:gridCol w:w="4414"/>
      </w:tblGrid>
      <w:tr w:rsidR="00CC04F8" w:rsidRPr="005C572A" w:rsidTr="002E7F31">
        <w:trPr>
          <w:tblHeader/>
        </w:trPr>
        <w:tc>
          <w:tcPr>
            <w:tcW w:w="4414" w:type="dxa"/>
          </w:tcPr>
          <w:p w:rsidR="00CC04F8" w:rsidRPr="001D7901" w:rsidRDefault="00CC04F8" w:rsidP="00444E3F">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CC04F8" w:rsidRPr="001D7901" w:rsidRDefault="00CC04F8" w:rsidP="00444E3F">
            <w:pPr>
              <w:jc w:val="center"/>
              <w:rPr>
                <w:rFonts w:ascii="Cambria" w:hAnsi="Cambria"/>
                <w:b/>
                <w:bCs/>
                <w:sz w:val="20"/>
                <w:szCs w:val="20"/>
              </w:rPr>
            </w:pPr>
            <w:r w:rsidRPr="001D7901">
              <w:rPr>
                <w:rFonts w:ascii="Cambria" w:hAnsi="Cambria"/>
                <w:b/>
                <w:bCs/>
                <w:sz w:val="20"/>
                <w:szCs w:val="20"/>
              </w:rPr>
              <w:t>Nueva versión con que quedaría la norma</w:t>
            </w:r>
          </w:p>
        </w:tc>
      </w:tr>
      <w:tr w:rsidR="00CC04F8" w:rsidRPr="005C572A" w:rsidTr="00444E3F">
        <w:tc>
          <w:tcPr>
            <w:tcW w:w="4414" w:type="dxa"/>
          </w:tcPr>
          <w:p w:rsidR="00CC04F8" w:rsidRDefault="001D7901" w:rsidP="001D7901">
            <w:pPr>
              <w:jc w:val="both"/>
              <w:rPr>
                <w:rFonts w:ascii="Cambria" w:hAnsi="Cambria"/>
                <w:sz w:val="20"/>
                <w:szCs w:val="20"/>
              </w:rPr>
            </w:pPr>
            <w:bookmarkStart w:id="50" w:name="10"/>
            <w:r w:rsidRPr="001D7901">
              <w:rPr>
                <w:rFonts w:ascii="Cambria" w:hAnsi="Cambria"/>
                <w:b/>
                <w:bCs/>
                <w:color w:val="000000" w:themeColor="text1"/>
                <w:sz w:val="20"/>
                <w:szCs w:val="20"/>
              </w:rPr>
              <w:t xml:space="preserve">Articulo 10. Recaudos del </w:t>
            </w:r>
            <w:proofErr w:type="spellStart"/>
            <w:r w:rsidRPr="001D7901">
              <w:rPr>
                <w:rFonts w:ascii="Cambria" w:hAnsi="Cambria"/>
                <w:b/>
                <w:bCs/>
                <w:color w:val="000000" w:themeColor="text1"/>
                <w:sz w:val="20"/>
                <w:szCs w:val="20"/>
              </w:rPr>
              <w:t>invima</w:t>
            </w:r>
            <w:proofErr w:type="spellEnd"/>
            <w:r w:rsidRPr="001D7901">
              <w:rPr>
                <w:rFonts w:ascii="Cambria" w:hAnsi="Cambria"/>
                <w:b/>
                <w:bCs/>
                <w:color w:val="BE9E55"/>
                <w:sz w:val="20"/>
                <w:szCs w:val="20"/>
              </w:rPr>
              <w:t>.</w:t>
            </w:r>
            <w:bookmarkEnd w:id="50"/>
            <w:r w:rsidRPr="001D7901">
              <w:rPr>
                <w:rFonts w:ascii="Cambria" w:hAnsi="Cambria"/>
                <w:sz w:val="20"/>
                <w:szCs w:val="20"/>
              </w:rPr>
              <w:t> </w:t>
            </w:r>
            <w:r w:rsidRPr="001D7901">
              <w:rPr>
                <w:rFonts w:ascii="Cambria" w:hAnsi="Cambria"/>
                <w:sz w:val="20"/>
                <w:szCs w:val="20"/>
                <w:highlight w:val="yellow"/>
              </w:rPr>
              <w:t>Los recursos que recaude el Invima en desarrollo de la presente ley, son complemento de los recursos con los cuales el Estado debe financiar la entidad en cumplimiento de los objetivos señalados en el artículo </w:t>
            </w:r>
            <w:hyperlink r:id="rId109" w:anchor="245" w:history="1">
              <w:r w:rsidRPr="001D7901">
                <w:rPr>
                  <w:rStyle w:val="Hipervnculo"/>
                  <w:rFonts w:ascii="Cambria" w:hAnsi="Cambria" w:cs="Open Sans"/>
                  <w:color w:val="0073FF"/>
                  <w:sz w:val="20"/>
                  <w:szCs w:val="20"/>
                  <w:highlight w:val="yellow"/>
                </w:rPr>
                <w:t>245</w:t>
              </w:r>
            </w:hyperlink>
            <w:r w:rsidRPr="001D7901">
              <w:rPr>
                <w:rFonts w:ascii="Cambria" w:hAnsi="Cambria"/>
                <w:sz w:val="20"/>
                <w:szCs w:val="20"/>
                <w:highlight w:val="yellow"/>
              </w:rPr>
              <w:t> de la Ley 100 de 1993.</w:t>
            </w:r>
          </w:p>
          <w:p w:rsidR="001D7901" w:rsidRPr="001D7901" w:rsidRDefault="001D7901" w:rsidP="001D7901">
            <w:pPr>
              <w:jc w:val="both"/>
              <w:rPr>
                <w:rFonts w:ascii="Cambria" w:hAnsi="Cambria"/>
                <w:b/>
                <w:bCs/>
                <w:sz w:val="20"/>
                <w:szCs w:val="20"/>
              </w:rPr>
            </w:pPr>
          </w:p>
        </w:tc>
        <w:tc>
          <w:tcPr>
            <w:tcW w:w="4414" w:type="dxa"/>
          </w:tcPr>
          <w:p w:rsidR="00CC04F8" w:rsidRPr="001D7901" w:rsidRDefault="001D7901" w:rsidP="00444E3F">
            <w:pPr>
              <w:jc w:val="both"/>
              <w:rPr>
                <w:rFonts w:ascii="Cambria" w:hAnsi="Cambria"/>
                <w:sz w:val="20"/>
                <w:szCs w:val="20"/>
              </w:rPr>
            </w:pPr>
            <w:r w:rsidRPr="001D7901">
              <w:rPr>
                <w:rFonts w:ascii="Cambria" w:hAnsi="Cambria"/>
                <w:b/>
                <w:bCs/>
                <w:color w:val="000000" w:themeColor="text1"/>
                <w:sz w:val="20"/>
                <w:szCs w:val="20"/>
              </w:rPr>
              <w:t>Artículo 10. Recaudos del INVIMA</w:t>
            </w:r>
            <w:r>
              <w:rPr>
                <w:rFonts w:ascii="Cambria" w:hAnsi="Cambria"/>
                <w:b/>
                <w:bCs/>
                <w:color w:val="000000" w:themeColor="text1"/>
                <w:sz w:val="20"/>
                <w:szCs w:val="20"/>
              </w:rPr>
              <w:t xml:space="preserve"> (</w:t>
            </w:r>
            <w:r w:rsidRPr="001D7901">
              <w:rPr>
                <w:rFonts w:ascii="Cambria" w:hAnsi="Cambria"/>
                <w:b/>
                <w:bCs/>
                <w:color w:val="FF0000"/>
                <w:sz w:val="20"/>
                <w:szCs w:val="20"/>
              </w:rPr>
              <w:t xml:space="preserve">modificado con artículo 44 del proyecto de </w:t>
            </w:r>
            <w:r w:rsidR="00FB60A2">
              <w:rPr>
                <w:rFonts w:ascii="Cambria" w:hAnsi="Cambria"/>
                <w:b/>
                <w:bCs/>
                <w:color w:val="FF0000"/>
                <w:sz w:val="20"/>
                <w:szCs w:val="20"/>
              </w:rPr>
              <w:t>Ley de septiembre de 2025</w:t>
            </w:r>
            <w:r w:rsidRPr="001D7901">
              <w:rPr>
                <w:rFonts w:ascii="Cambria" w:hAnsi="Cambria"/>
                <w:b/>
                <w:bCs/>
                <w:color w:val="FF0000"/>
                <w:sz w:val="20"/>
                <w:szCs w:val="20"/>
              </w:rPr>
              <w:t>)</w:t>
            </w:r>
            <w:r w:rsidRPr="001D7901">
              <w:rPr>
                <w:rFonts w:ascii="Cambria" w:hAnsi="Cambria"/>
                <w:sz w:val="20"/>
                <w:szCs w:val="20"/>
              </w:rPr>
              <w:t xml:space="preserve">. </w:t>
            </w:r>
            <w:r w:rsidRPr="001D7901">
              <w:rPr>
                <w:rFonts w:ascii="Cambria" w:hAnsi="Cambria"/>
                <w:sz w:val="20"/>
                <w:szCs w:val="20"/>
                <w:highlight w:val="yellow"/>
              </w:rPr>
              <w:t>El esquema de financiamiento del Instituto Nacional de Vigilancia de Medicamentos y Alimentos (INVIMA) estará compuesto por recursos del Presupuesto General de la Nación y recursos propios. Los recursos propios están constituidos por la tasa para recuperar los costos de los servicios prestados por el Invima, la contribución de vigilancia a favor del INVIMA para apoyar los costos asociados al servicio de vigilancia sanitaria que la entidad presta en beneficio de sus vigilados en desarrollo de sus funciones de inspección, vigilancia y control; así como los derechos, precios públicos y demás ingresos que conforme autorización legal sean recaudados a favor del INVIMA.</w:t>
            </w:r>
          </w:p>
          <w:p w:rsidR="001D7901" w:rsidRPr="005C572A" w:rsidRDefault="001D7901" w:rsidP="00444E3F">
            <w:pPr>
              <w:jc w:val="both"/>
              <w:rPr>
                <w:rFonts w:ascii="Cambria" w:hAnsi="Cambria"/>
                <w:b/>
                <w:bCs/>
                <w:sz w:val="16"/>
                <w:szCs w:val="16"/>
              </w:rPr>
            </w:pPr>
          </w:p>
        </w:tc>
      </w:tr>
      <w:tr w:rsidR="00CC04F8" w:rsidRPr="005C572A" w:rsidTr="00444E3F">
        <w:tc>
          <w:tcPr>
            <w:tcW w:w="4414" w:type="dxa"/>
          </w:tcPr>
          <w:p w:rsidR="00CC04F8" w:rsidRPr="001D7901" w:rsidRDefault="001D7901" w:rsidP="00444E3F">
            <w:pPr>
              <w:jc w:val="both"/>
              <w:rPr>
                <w:rFonts w:ascii="Cambria" w:hAnsi="Cambria"/>
                <w:b/>
                <w:bCs/>
                <w:sz w:val="20"/>
                <w:szCs w:val="20"/>
              </w:rPr>
            </w:pPr>
            <w:r>
              <w:rPr>
                <w:rFonts w:ascii="Cambria" w:hAnsi="Cambria"/>
                <w:b/>
                <w:bCs/>
                <w:sz w:val="20"/>
                <w:szCs w:val="20"/>
              </w:rPr>
              <w:t>Artículo 10-A (No existía)</w:t>
            </w:r>
          </w:p>
        </w:tc>
        <w:tc>
          <w:tcPr>
            <w:tcW w:w="4414" w:type="dxa"/>
          </w:tcPr>
          <w:p w:rsidR="001D7901" w:rsidRPr="001D7901" w:rsidRDefault="001D7901" w:rsidP="001D7901">
            <w:pPr>
              <w:jc w:val="both"/>
              <w:rPr>
                <w:rFonts w:ascii="Cambria" w:hAnsi="Cambria"/>
                <w:sz w:val="20"/>
                <w:szCs w:val="20"/>
                <w:highlight w:val="yellow"/>
              </w:rPr>
            </w:pPr>
            <w:r w:rsidRPr="001D7901">
              <w:rPr>
                <w:rFonts w:ascii="Cambria" w:hAnsi="Cambria"/>
                <w:b/>
                <w:bCs/>
                <w:sz w:val="20"/>
                <w:szCs w:val="20"/>
                <w:highlight w:val="yellow"/>
              </w:rPr>
              <w:t>Artículo 10A. Contribución de vigilancia a favor del INVIMA</w:t>
            </w:r>
            <w:r w:rsidR="009E279D">
              <w:rPr>
                <w:rFonts w:ascii="Cambria" w:hAnsi="Cambria"/>
                <w:b/>
                <w:bCs/>
                <w:sz w:val="20"/>
                <w:szCs w:val="20"/>
                <w:highlight w:val="yellow"/>
              </w:rPr>
              <w:t xml:space="preserve"> </w:t>
            </w:r>
            <w:r w:rsidR="009E279D" w:rsidRPr="009E279D">
              <w:rPr>
                <w:rFonts w:ascii="Cambria" w:hAnsi="Cambria"/>
                <w:b/>
                <w:bCs/>
                <w:sz w:val="20"/>
                <w:szCs w:val="20"/>
                <w:highlight w:val="yellow"/>
              </w:rPr>
              <w:t>(</w:t>
            </w:r>
            <w:r w:rsidR="009E279D" w:rsidRPr="009E279D">
              <w:rPr>
                <w:rFonts w:ascii="Cambria" w:hAnsi="Cambria"/>
                <w:b/>
                <w:bCs/>
                <w:color w:val="FF0000"/>
                <w:sz w:val="20"/>
                <w:szCs w:val="20"/>
                <w:highlight w:val="yellow"/>
              </w:rPr>
              <w:t xml:space="preserve">agregado con artículo 43 del proyecto de </w:t>
            </w:r>
            <w:r w:rsidR="00FB60A2">
              <w:rPr>
                <w:rFonts w:ascii="Cambria" w:hAnsi="Cambria"/>
                <w:b/>
                <w:bCs/>
                <w:color w:val="FF0000"/>
                <w:sz w:val="20"/>
                <w:szCs w:val="20"/>
                <w:highlight w:val="yellow"/>
              </w:rPr>
              <w:t>Ley de septiembre de 2025</w:t>
            </w:r>
            <w:r w:rsidR="009E279D" w:rsidRPr="009E279D">
              <w:rPr>
                <w:rFonts w:ascii="Cambria" w:hAnsi="Cambria"/>
                <w:b/>
                <w:bCs/>
                <w:color w:val="FF0000"/>
                <w:sz w:val="20"/>
                <w:szCs w:val="20"/>
                <w:highlight w:val="yellow"/>
              </w:rPr>
              <w:t>)</w:t>
            </w:r>
            <w:r w:rsidR="009E279D" w:rsidRPr="009E279D">
              <w:rPr>
                <w:rFonts w:ascii="Cambria" w:hAnsi="Cambria"/>
                <w:b/>
                <w:bCs/>
                <w:sz w:val="20"/>
                <w:szCs w:val="20"/>
                <w:highlight w:val="yellow"/>
              </w:rPr>
              <w:t>.</w:t>
            </w:r>
            <w:r w:rsidRPr="009E279D">
              <w:rPr>
                <w:rFonts w:ascii="Cambria" w:hAnsi="Cambria"/>
                <w:b/>
                <w:bCs/>
                <w:sz w:val="20"/>
                <w:szCs w:val="20"/>
                <w:highlight w:val="yellow"/>
              </w:rPr>
              <w:t xml:space="preserve">. </w:t>
            </w:r>
            <w:r w:rsidRPr="001D7901">
              <w:rPr>
                <w:rFonts w:ascii="Cambria" w:hAnsi="Cambria"/>
                <w:sz w:val="20"/>
                <w:szCs w:val="20"/>
                <w:highlight w:val="yellow"/>
              </w:rPr>
              <w:t xml:space="preserve">Las personas naturales y jurídicas que cuenten </w:t>
            </w:r>
            <w:r w:rsidRPr="001D7901">
              <w:rPr>
                <w:rFonts w:ascii="Cambria" w:hAnsi="Cambria"/>
                <w:sz w:val="20"/>
                <w:szCs w:val="20"/>
                <w:highlight w:val="yellow"/>
              </w:rPr>
              <w:lastRenderedPageBreak/>
              <w:t xml:space="preserve">con autorización de comercialización otorgada por el Instituto Nacional de Vigilancia de Medicamentos y Alimentos (INVIMA), y estén sometidas a su Inspección, Vigilancia y Control - IVC de acuerdo con la ley, quedarán sujetas al pago de una contribución que se causará el primer día calendario de enero de cada año y se fijará por parte del INVIMA, conforme a los siguientes criterios: </w:t>
            </w:r>
          </w:p>
          <w:p w:rsidR="001D7901" w:rsidRDefault="001D7901" w:rsidP="001D7901">
            <w:pPr>
              <w:jc w:val="both"/>
              <w:rPr>
                <w:rFonts w:ascii="Cambria" w:hAnsi="Cambria"/>
                <w:sz w:val="20"/>
                <w:szCs w:val="20"/>
                <w:highlight w:val="yellow"/>
              </w:rPr>
            </w:pPr>
          </w:p>
          <w:p w:rsidR="001D7901" w:rsidRPr="001D7901" w:rsidRDefault="001D7901" w:rsidP="001D7901">
            <w:pPr>
              <w:jc w:val="both"/>
              <w:rPr>
                <w:rFonts w:ascii="Cambria" w:hAnsi="Cambria" w:cs="Aptos"/>
                <w:sz w:val="20"/>
                <w:szCs w:val="20"/>
                <w:highlight w:val="yellow"/>
              </w:rPr>
            </w:pPr>
            <w:r w:rsidRPr="001D7901">
              <w:rPr>
                <w:rFonts w:ascii="Cambria" w:hAnsi="Cambria"/>
                <w:sz w:val="20"/>
                <w:szCs w:val="20"/>
                <w:highlight w:val="yellow"/>
              </w:rPr>
              <w:t xml:space="preserve">a) El INVIMA, mediante resolución, establecerá anualmente la tarifa de la contribución a cobrar a los vigilados, con base en los gastos de funcionamiento e inversión en los que incurre para la prestación del servicio de vigilancia sanitaria y la participación de los vigilados sobre el monto total de gastos calculado. </w:t>
            </w:r>
            <w:r w:rsidRPr="001D7901">
              <w:rPr>
                <w:rFonts w:ascii="Cambria" w:hAnsi="Cambria" w:cs="Aptos"/>
                <w:sz w:val="20"/>
                <w:szCs w:val="20"/>
                <w:highlight w:val="yellow"/>
              </w:rPr>
              <w:t xml:space="preserve">31 </w:t>
            </w:r>
          </w:p>
          <w:p w:rsidR="001D7901" w:rsidRPr="001D7901" w:rsidRDefault="001D7901" w:rsidP="001D7901">
            <w:pPr>
              <w:jc w:val="both"/>
              <w:rPr>
                <w:rFonts w:ascii="Cambria" w:hAnsi="Cambria" w:cstheme="minorBidi"/>
                <w:sz w:val="20"/>
                <w:szCs w:val="20"/>
                <w:highlight w:val="yellow"/>
              </w:rPr>
            </w:pPr>
          </w:p>
          <w:p w:rsidR="001D7901" w:rsidRPr="001D7901" w:rsidRDefault="001D7901" w:rsidP="001D7901">
            <w:pPr>
              <w:jc w:val="both"/>
              <w:rPr>
                <w:rFonts w:ascii="Cambria" w:hAnsi="Cambria"/>
                <w:sz w:val="20"/>
                <w:szCs w:val="20"/>
                <w:highlight w:val="yellow"/>
              </w:rPr>
            </w:pPr>
            <w:r w:rsidRPr="001D7901">
              <w:rPr>
                <w:rFonts w:ascii="Cambria" w:hAnsi="Cambria"/>
                <w:sz w:val="20"/>
                <w:szCs w:val="20"/>
                <w:highlight w:val="yellow"/>
              </w:rPr>
              <w:t xml:space="preserve">b) La participación de cada establecimiento en la contribución será calculado en función de dos variables: los gastos operacionales reportados por el vigilado en sus estados financieros certificados por contador público y los días esperados de visita asociados a inspección, vigilancia y control, calculados de acuerdo con el modelo de riesgos sanitarios de IVC-SOA para cada vigilado, con corte a 31 de diciembre del año inmediatamente anterior. </w:t>
            </w:r>
          </w:p>
          <w:p w:rsidR="001D7901" w:rsidRDefault="001D7901" w:rsidP="001D7901">
            <w:pPr>
              <w:jc w:val="both"/>
              <w:rPr>
                <w:rFonts w:ascii="Cambria" w:hAnsi="Cambria"/>
                <w:sz w:val="20"/>
                <w:szCs w:val="20"/>
                <w:highlight w:val="yellow"/>
              </w:rPr>
            </w:pPr>
          </w:p>
          <w:p w:rsidR="001D7901" w:rsidRPr="001D7901" w:rsidRDefault="001D7901" w:rsidP="001D7901">
            <w:pPr>
              <w:jc w:val="both"/>
              <w:rPr>
                <w:rFonts w:ascii="Cambria" w:hAnsi="Cambria"/>
                <w:sz w:val="20"/>
                <w:szCs w:val="20"/>
                <w:highlight w:val="yellow"/>
              </w:rPr>
            </w:pPr>
            <w:r w:rsidRPr="001D7901">
              <w:rPr>
                <w:rFonts w:ascii="Cambria" w:hAnsi="Cambria"/>
                <w:sz w:val="20"/>
                <w:szCs w:val="20"/>
                <w:highlight w:val="yellow"/>
              </w:rPr>
              <w:t xml:space="preserve">c. La tarifa máxima de la contribución no podrá ser superior al cero coma ocho por ciento (0,8%) de los gastos de funcionamiento e inversión calculados para la vigencia, asociados al servicio de vigilancia sanitaria que el INVIMA presta a sus vigilados en desarrollo de sus funciones de inspección, vigilancia y control. </w:t>
            </w:r>
          </w:p>
          <w:p w:rsidR="001D7901" w:rsidRDefault="001D7901" w:rsidP="001D7901">
            <w:pPr>
              <w:jc w:val="both"/>
              <w:rPr>
                <w:rFonts w:ascii="Cambria" w:hAnsi="Cambria"/>
                <w:sz w:val="20"/>
                <w:szCs w:val="20"/>
                <w:highlight w:val="yellow"/>
              </w:rPr>
            </w:pPr>
          </w:p>
          <w:p w:rsidR="001D7901" w:rsidRPr="001D7901" w:rsidRDefault="001D7901" w:rsidP="001D7901">
            <w:pPr>
              <w:jc w:val="both"/>
              <w:rPr>
                <w:rFonts w:ascii="Cambria" w:hAnsi="Cambria"/>
                <w:sz w:val="20"/>
                <w:szCs w:val="20"/>
                <w:highlight w:val="yellow"/>
              </w:rPr>
            </w:pPr>
            <w:r w:rsidRPr="001D7901">
              <w:rPr>
                <w:rFonts w:ascii="Cambria" w:hAnsi="Cambria"/>
                <w:sz w:val="20"/>
                <w:szCs w:val="20"/>
                <w:highlight w:val="yellow"/>
              </w:rPr>
              <w:t xml:space="preserve">d. La contribución deberá pagarse en los plazos que para tal efecto determine el INVIMA. De conformidad con el artículo 3 de la Ley 1066 de 2006, los responsables de la contribución aquí establecida que no cancelen oportunamente deberán liquidar y pagar intereses moratorios a la tasa prevista en el Estatuto Tributario. </w:t>
            </w:r>
          </w:p>
          <w:p w:rsidR="001D7901" w:rsidRDefault="001D7901" w:rsidP="001D7901">
            <w:pPr>
              <w:jc w:val="both"/>
              <w:rPr>
                <w:rFonts w:ascii="Cambria" w:hAnsi="Cambria"/>
                <w:b/>
                <w:bCs/>
                <w:sz w:val="20"/>
                <w:szCs w:val="20"/>
                <w:highlight w:val="yellow"/>
              </w:rPr>
            </w:pPr>
          </w:p>
          <w:p w:rsidR="001D7901" w:rsidRPr="001D7901" w:rsidRDefault="001D7901" w:rsidP="001D7901">
            <w:pPr>
              <w:jc w:val="both"/>
              <w:rPr>
                <w:rFonts w:ascii="Cambria" w:hAnsi="Cambria"/>
                <w:sz w:val="20"/>
                <w:szCs w:val="20"/>
                <w:highlight w:val="yellow"/>
              </w:rPr>
            </w:pPr>
            <w:r w:rsidRPr="001D7901">
              <w:rPr>
                <w:rFonts w:ascii="Cambria" w:hAnsi="Cambria"/>
                <w:b/>
                <w:bCs/>
                <w:sz w:val="20"/>
                <w:szCs w:val="20"/>
                <w:highlight w:val="yellow"/>
              </w:rPr>
              <w:t xml:space="preserve">Parágrafo 1. </w:t>
            </w:r>
            <w:r w:rsidRPr="001D7901">
              <w:rPr>
                <w:rFonts w:ascii="Cambria" w:hAnsi="Cambria"/>
                <w:sz w:val="20"/>
                <w:szCs w:val="20"/>
                <w:highlight w:val="yellow"/>
              </w:rPr>
              <w:t xml:space="preserve">El INVIMA destinará los recursos recaudados para financiar los gastos en que incurre para garantizar la cobertura del servicio asociado a las actividades de inspección, vigilancia y control, y el fortalecimiento técnico y tecnológico para el correcto desarrollo de sus funciones. </w:t>
            </w:r>
          </w:p>
          <w:p w:rsidR="001D7901" w:rsidRDefault="001D7901" w:rsidP="001D7901">
            <w:pPr>
              <w:jc w:val="both"/>
              <w:rPr>
                <w:rFonts w:ascii="Cambria" w:hAnsi="Cambria"/>
                <w:b/>
                <w:bCs/>
                <w:sz w:val="20"/>
                <w:szCs w:val="20"/>
                <w:highlight w:val="yellow"/>
              </w:rPr>
            </w:pPr>
          </w:p>
          <w:p w:rsidR="001D7901" w:rsidRPr="001D7901" w:rsidRDefault="001D7901" w:rsidP="001D7901">
            <w:pPr>
              <w:jc w:val="both"/>
              <w:rPr>
                <w:rFonts w:ascii="Cambria" w:hAnsi="Cambria"/>
                <w:sz w:val="20"/>
                <w:szCs w:val="20"/>
                <w:highlight w:val="yellow"/>
              </w:rPr>
            </w:pPr>
            <w:r w:rsidRPr="001D7901">
              <w:rPr>
                <w:rFonts w:ascii="Cambria" w:hAnsi="Cambria"/>
                <w:b/>
                <w:bCs/>
                <w:sz w:val="20"/>
                <w:szCs w:val="20"/>
                <w:highlight w:val="yellow"/>
              </w:rPr>
              <w:lastRenderedPageBreak/>
              <w:t xml:space="preserve">Parágrafo 2. </w:t>
            </w:r>
            <w:r w:rsidRPr="001D7901">
              <w:rPr>
                <w:rFonts w:ascii="Cambria" w:hAnsi="Cambria"/>
                <w:sz w:val="20"/>
                <w:szCs w:val="20"/>
                <w:highlight w:val="yellow"/>
              </w:rPr>
              <w:t xml:space="preserve">En caso de que el sujeto pasivo de la contribución no realice los pagos de esta en los plazos establecidos en el literal d) del presente artículo, deberá pagar una sanción equivalente al 1% respecto a su contribución, sobre los ingresos operacionales del año anterior a aquel en que debió realizar el pago, sin perjuicio del valor liquidado por concepto de contribución y los intereses moratorios a que haya lugar. </w:t>
            </w:r>
          </w:p>
          <w:p w:rsidR="001D7901" w:rsidRDefault="001D7901" w:rsidP="001D7901">
            <w:pPr>
              <w:jc w:val="both"/>
              <w:rPr>
                <w:rFonts w:ascii="Cambria" w:hAnsi="Cambria"/>
                <w:b/>
                <w:bCs/>
                <w:sz w:val="20"/>
                <w:szCs w:val="20"/>
                <w:highlight w:val="yellow"/>
              </w:rPr>
            </w:pPr>
          </w:p>
          <w:p w:rsidR="00CC04F8" w:rsidRDefault="001D7901" w:rsidP="001D7901">
            <w:pPr>
              <w:jc w:val="both"/>
              <w:rPr>
                <w:rFonts w:ascii="Cambria" w:hAnsi="Cambria"/>
                <w:sz w:val="20"/>
                <w:szCs w:val="20"/>
                <w:highlight w:val="yellow"/>
              </w:rPr>
            </w:pPr>
            <w:r w:rsidRPr="001D7901">
              <w:rPr>
                <w:rFonts w:ascii="Cambria" w:hAnsi="Cambria"/>
                <w:b/>
                <w:bCs/>
                <w:sz w:val="20"/>
                <w:szCs w:val="20"/>
                <w:highlight w:val="yellow"/>
              </w:rPr>
              <w:t xml:space="preserve">Parágrafo 3. </w:t>
            </w:r>
            <w:r w:rsidRPr="001D7901">
              <w:rPr>
                <w:rFonts w:ascii="Cambria" w:hAnsi="Cambria"/>
                <w:sz w:val="20"/>
                <w:szCs w:val="20"/>
                <w:highlight w:val="yellow"/>
              </w:rPr>
              <w:t xml:space="preserve">Las empresas nuevas que se inscriban ante el INVIMA durante el primer año no pagarán la contribución. </w:t>
            </w:r>
          </w:p>
          <w:p w:rsidR="001D7901" w:rsidRPr="001D7901" w:rsidRDefault="001D7901" w:rsidP="001D7901">
            <w:pPr>
              <w:jc w:val="both"/>
              <w:rPr>
                <w:rFonts w:ascii="Cambria" w:hAnsi="Cambria"/>
                <w:b/>
                <w:bCs/>
                <w:sz w:val="20"/>
                <w:szCs w:val="20"/>
                <w:highlight w:val="yellow"/>
              </w:rPr>
            </w:pPr>
          </w:p>
        </w:tc>
      </w:tr>
    </w:tbl>
    <w:p w:rsidR="009E279D" w:rsidRDefault="009E279D"/>
    <w:p w:rsidR="007427A0" w:rsidRPr="007427A0" w:rsidRDefault="007427A0">
      <w:pPr>
        <w:rPr>
          <w:rFonts w:ascii="Calibri" w:hAnsi="Calibri"/>
          <w:b/>
          <w:color w:val="FF0000"/>
          <w:lang w:val="es-ES"/>
        </w:rPr>
      </w:pPr>
      <w:r w:rsidRPr="007427A0">
        <w:rPr>
          <w:rFonts w:ascii="Calibri" w:hAnsi="Calibri"/>
          <w:b/>
          <w:color w:val="FF0000"/>
          <w:lang w:val="es-ES"/>
        </w:rPr>
        <w:t>Ley 223 de diciembre 20 de 1995 (Por la cual se expiden normas sobre racionalización tributaria y se dictan otras disposiciones)</w:t>
      </w:r>
    </w:p>
    <w:p w:rsidR="009E279D" w:rsidRDefault="009E279D" w:rsidP="009E279D"/>
    <w:tbl>
      <w:tblPr>
        <w:tblStyle w:val="Tablaconcuadrcula"/>
        <w:tblW w:w="0" w:type="auto"/>
        <w:tblLook w:val="04A0" w:firstRow="1" w:lastRow="0" w:firstColumn="1" w:lastColumn="0" w:noHBand="0" w:noVBand="1"/>
      </w:tblPr>
      <w:tblGrid>
        <w:gridCol w:w="4414"/>
        <w:gridCol w:w="4414"/>
      </w:tblGrid>
      <w:tr w:rsidR="009E279D" w:rsidRPr="0065720A" w:rsidTr="0092734A">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Nueva versión con que quedaría la norma</w:t>
            </w:r>
          </w:p>
        </w:tc>
      </w:tr>
      <w:tr w:rsidR="009E279D" w:rsidTr="0092734A">
        <w:tc>
          <w:tcPr>
            <w:tcW w:w="4414" w:type="dxa"/>
          </w:tcPr>
          <w:p w:rsidR="007427A0" w:rsidRPr="007427A0" w:rsidRDefault="007427A0" w:rsidP="007427A0">
            <w:pPr>
              <w:jc w:val="both"/>
              <w:rPr>
                <w:rFonts w:ascii="Cambria" w:hAnsi="Cambria"/>
                <w:sz w:val="20"/>
                <w:szCs w:val="20"/>
              </w:rPr>
            </w:pPr>
            <w:bookmarkStart w:id="51" w:name="186"/>
            <w:r w:rsidRPr="007427A0">
              <w:rPr>
                <w:rFonts w:ascii="Cambria" w:hAnsi="Cambria"/>
                <w:b/>
                <w:bCs/>
                <w:color w:val="000000" w:themeColor="text1"/>
                <w:sz w:val="20"/>
                <w:szCs w:val="20"/>
              </w:rPr>
              <w:t>Artículo 186. Hecho generador</w:t>
            </w:r>
            <w:r w:rsidRPr="007427A0">
              <w:rPr>
                <w:rFonts w:ascii="Cambria" w:hAnsi="Cambria"/>
                <w:b/>
                <w:bCs/>
                <w:color w:val="BE9E55"/>
                <w:sz w:val="20"/>
                <w:szCs w:val="20"/>
              </w:rPr>
              <w:t>.</w:t>
            </w:r>
            <w:bookmarkEnd w:id="51"/>
            <w:r w:rsidRPr="007427A0">
              <w:rPr>
                <w:rFonts w:ascii="Cambria" w:hAnsi="Cambria"/>
                <w:sz w:val="20"/>
                <w:szCs w:val="20"/>
              </w:rPr>
              <w:t> Está constituido por el consumo en el territorio nacional de cervezas, sifones, refajos y mezclas de bebidas fermentadas con bebidas no alcohólicas.</w:t>
            </w:r>
          </w:p>
          <w:p w:rsidR="007427A0" w:rsidRDefault="007427A0" w:rsidP="007427A0">
            <w:pPr>
              <w:jc w:val="both"/>
              <w:rPr>
                <w:rFonts w:ascii="Cambria" w:hAnsi="Cambria"/>
                <w:sz w:val="20"/>
                <w:szCs w:val="20"/>
              </w:rPr>
            </w:pPr>
          </w:p>
          <w:p w:rsidR="007427A0" w:rsidRPr="007427A0" w:rsidRDefault="007427A0" w:rsidP="007427A0">
            <w:pPr>
              <w:jc w:val="both"/>
              <w:rPr>
                <w:rFonts w:ascii="Cambria" w:hAnsi="Cambria"/>
                <w:sz w:val="20"/>
                <w:szCs w:val="20"/>
              </w:rPr>
            </w:pPr>
            <w:r w:rsidRPr="007427A0">
              <w:rPr>
                <w:rFonts w:ascii="Cambria" w:hAnsi="Cambria"/>
                <w:sz w:val="20"/>
                <w:szCs w:val="20"/>
              </w:rPr>
              <w:t>No generan este impuesto las exportaciones de cervezas, sifones, refajos, mezclas de bebidas, fermentadas con bebidas no alcohólicas</w:t>
            </w:r>
          </w:p>
          <w:p w:rsidR="009E279D" w:rsidRPr="007427A0" w:rsidRDefault="009E279D" w:rsidP="007427A0">
            <w:pPr>
              <w:jc w:val="both"/>
              <w:rPr>
                <w:rFonts w:ascii="Cambria" w:hAnsi="Cambria"/>
                <w:sz w:val="20"/>
                <w:szCs w:val="20"/>
              </w:rPr>
            </w:pPr>
          </w:p>
        </w:tc>
        <w:tc>
          <w:tcPr>
            <w:tcW w:w="4414" w:type="dxa"/>
          </w:tcPr>
          <w:p w:rsidR="007427A0" w:rsidRPr="007427A0" w:rsidRDefault="007427A0" w:rsidP="007427A0">
            <w:pPr>
              <w:jc w:val="both"/>
              <w:rPr>
                <w:rFonts w:ascii="Cambria" w:hAnsi="Cambria" w:cs="Aptos"/>
                <w:sz w:val="20"/>
                <w:szCs w:val="20"/>
              </w:rPr>
            </w:pPr>
            <w:r w:rsidRPr="007427A0">
              <w:rPr>
                <w:rFonts w:ascii="Cambria" w:hAnsi="Cambria"/>
                <w:b/>
                <w:bCs/>
                <w:sz w:val="20"/>
                <w:szCs w:val="20"/>
              </w:rPr>
              <w:t>Artículo 186. Hecho generador</w:t>
            </w:r>
            <w:r w:rsidR="00FB31CB">
              <w:rPr>
                <w:rFonts w:ascii="Cambria" w:hAnsi="Cambria"/>
                <w:b/>
                <w:bCs/>
                <w:sz w:val="20"/>
                <w:szCs w:val="20"/>
              </w:rPr>
              <w:t xml:space="preserve"> </w:t>
            </w:r>
            <w:r w:rsidR="00FB31CB" w:rsidRPr="00FB31CB">
              <w:rPr>
                <w:rFonts w:ascii="Cambria" w:hAnsi="Cambria"/>
                <w:b/>
                <w:bCs/>
                <w:color w:val="FF0000"/>
                <w:sz w:val="20"/>
                <w:szCs w:val="20"/>
              </w:rPr>
              <w:t xml:space="preserve">(modificado con artículos 34 y 95 del proyecto de </w:t>
            </w:r>
            <w:r w:rsidR="00852E78">
              <w:rPr>
                <w:rFonts w:ascii="Cambria" w:hAnsi="Cambria"/>
                <w:b/>
                <w:bCs/>
                <w:color w:val="FF0000"/>
                <w:sz w:val="20"/>
                <w:szCs w:val="20"/>
              </w:rPr>
              <w:t>Ley septiembre de 2025</w:t>
            </w:r>
            <w:r w:rsidR="00FB31CB" w:rsidRPr="00FB31CB">
              <w:rPr>
                <w:rFonts w:ascii="Cambria" w:hAnsi="Cambria"/>
                <w:b/>
                <w:bCs/>
                <w:color w:val="FF0000"/>
                <w:sz w:val="20"/>
                <w:szCs w:val="20"/>
              </w:rPr>
              <w:t>)</w:t>
            </w:r>
            <w:r w:rsidRPr="00FB31CB">
              <w:rPr>
                <w:rFonts w:ascii="Cambria" w:hAnsi="Cambria"/>
                <w:b/>
                <w:bCs/>
                <w:color w:val="FF0000"/>
                <w:sz w:val="20"/>
                <w:szCs w:val="20"/>
              </w:rPr>
              <w:t>.</w:t>
            </w:r>
            <w:r w:rsidRPr="007427A0">
              <w:rPr>
                <w:rFonts w:ascii="Cambria" w:hAnsi="Cambria"/>
                <w:b/>
                <w:bCs/>
                <w:sz w:val="20"/>
                <w:szCs w:val="20"/>
              </w:rPr>
              <w:t xml:space="preserve"> </w:t>
            </w:r>
            <w:r w:rsidRPr="007427A0">
              <w:rPr>
                <w:rFonts w:ascii="Cambria" w:hAnsi="Cambria"/>
                <w:sz w:val="20"/>
                <w:szCs w:val="20"/>
              </w:rPr>
              <w:t xml:space="preserve">Está constituido por el consumo en el territorio nacional de cervezas, </w:t>
            </w:r>
            <w:r w:rsidRPr="007427A0">
              <w:rPr>
                <w:rFonts w:ascii="Cambria" w:hAnsi="Cambria"/>
                <w:sz w:val="20"/>
                <w:szCs w:val="20"/>
                <w:highlight w:val="yellow"/>
              </w:rPr>
              <w:t>con o sin alcoho</w:t>
            </w:r>
            <w:r w:rsidRPr="007427A0">
              <w:rPr>
                <w:rFonts w:ascii="Cambria" w:hAnsi="Cambria"/>
                <w:sz w:val="20"/>
                <w:szCs w:val="20"/>
              </w:rPr>
              <w:t xml:space="preserve">l, sifones, refajos y mezclas de bebidas fermentadas con bebidas no alcohólicas. </w:t>
            </w:r>
          </w:p>
          <w:p w:rsidR="007427A0" w:rsidRPr="007427A0" w:rsidRDefault="007427A0" w:rsidP="007427A0">
            <w:pPr>
              <w:jc w:val="both"/>
              <w:rPr>
                <w:rFonts w:ascii="Cambria" w:hAnsi="Cambria" w:cstheme="minorBidi"/>
                <w:sz w:val="20"/>
                <w:szCs w:val="20"/>
              </w:rPr>
            </w:pPr>
          </w:p>
          <w:p w:rsidR="009E279D" w:rsidRPr="007427A0" w:rsidRDefault="007427A0" w:rsidP="007427A0">
            <w:pPr>
              <w:jc w:val="both"/>
              <w:rPr>
                <w:rFonts w:ascii="Cambria" w:hAnsi="Cambria"/>
                <w:sz w:val="20"/>
                <w:szCs w:val="20"/>
                <w:lang w:val="es-ES"/>
              </w:rPr>
            </w:pPr>
            <w:r w:rsidRPr="007427A0">
              <w:rPr>
                <w:rFonts w:ascii="Cambria" w:hAnsi="Cambria"/>
                <w:sz w:val="20"/>
                <w:szCs w:val="20"/>
              </w:rPr>
              <w:t xml:space="preserve">No generan este impuesto las exportaciones de cervezas, </w:t>
            </w:r>
            <w:r w:rsidRPr="007427A0">
              <w:rPr>
                <w:rFonts w:ascii="Cambria" w:hAnsi="Cambria"/>
                <w:sz w:val="20"/>
                <w:szCs w:val="20"/>
                <w:highlight w:val="yellow"/>
              </w:rPr>
              <w:t>con o sin alcohol</w:t>
            </w:r>
            <w:r w:rsidRPr="007427A0">
              <w:rPr>
                <w:rFonts w:ascii="Cambria" w:hAnsi="Cambria"/>
                <w:sz w:val="20"/>
                <w:szCs w:val="20"/>
              </w:rPr>
              <w:t xml:space="preserve">, sifones, refajos, mezclas de bebidas, fermentadas con bebidas no alcohólicas. </w:t>
            </w:r>
          </w:p>
        </w:tc>
      </w:tr>
      <w:tr w:rsidR="009E279D" w:rsidTr="0092734A">
        <w:tc>
          <w:tcPr>
            <w:tcW w:w="4414" w:type="dxa"/>
          </w:tcPr>
          <w:p w:rsidR="007427A0" w:rsidRPr="00FB31CB" w:rsidRDefault="007427A0" w:rsidP="007427A0">
            <w:pPr>
              <w:jc w:val="both"/>
              <w:rPr>
                <w:rFonts w:ascii="Cambria" w:hAnsi="Cambria"/>
                <w:sz w:val="20"/>
                <w:szCs w:val="20"/>
                <w:highlight w:val="yellow"/>
              </w:rPr>
            </w:pPr>
            <w:bookmarkStart w:id="52" w:name="189"/>
            <w:r w:rsidRPr="007427A0">
              <w:rPr>
                <w:rFonts w:ascii="Cambria" w:hAnsi="Cambria"/>
                <w:b/>
                <w:bCs/>
                <w:color w:val="000000" w:themeColor="text1"/>
                <w:sz w:val="20"/>
                <w:szCs w:val="20"/>
              </w:rPr>
              <w:t>Artículo 189. Base gravable</w:t>
            </w:r>
            <w:r w:rsidRPr="007427A0">
              <w:rPr>
                <w:rFonts w:ascii="Cambria" w:hAnsi="Cambria"/>
                <w:b/>
                <w:bCs/>
                <w:color w:val="BE9E55"/>
                <w:sz w:val="20"/>
                <w:szCs w:val="20"/>
              </w:rPr>
              <w:t>.</w:t>
            </w:r>
            <w:bookmarkEnd w:id="52"/>
            <w:r w:rsidRPr="007427A0">
              <w:rPr>
                <w:rFonts w:ascii="Cambria" w:hAnsi="Cambria"/>
                <w:sz w:val="20"/>
                <w:szCs w:val="20"/>
              </w:rPr>
              <w:t> </w:t>
            </w:r>
            <w:r w:rsidRPr="00FB31CB">
              <w:rPr>
                <w:rFonts w:ascii="Cambria" w:hAnsi="Cambria"/>
                <w:sz w:val="20"/>
                <w:szCs w:val="20"/>
                <w:highlight w:val="yellow"/>
              </w:rPr>
              <w:t>La base gravable de este impuesto está constituida por el precio de venta al detallista.</w:t>
            </w:r>
          </w:p>
          <w:p w:rsidR="007427A0" w:rsidRPr="00FB31CB" w:rsidRDefault="007427A0" w:rsidP="007427A0">
            <w:pPr>
              <w:jc w:val="both"/>
              <w:rPr>
                <w:rFonts w:ascii="Cambria" w:hAnsi="Cambria"/>
                <w:sz w:val="20"/>
                <w:szCs w:val="20"/>
                <w:highlight w:val="yellow"/>
              </w:rPr>
            </w:pPr>
          </w:p>
          <w:p w:rsidR="007427A0" w:rsidRPr="00FB31CB" w:rsidRDefault="007427A0" w:rsidP="007427A0">
            <w:pPr>
              <w:jc w:val="both"/>
              <w:rPr>
                <w:rFonts w:ascii="Cambria" w:hAnsi="Cambria"/>
                <w:sz w:val="20"/>
                <w:szCs w:val="20"/>
                <w:highlight w:val="yellow"/>
              </w:rPr>
            </w:pPr>
            <w:r w:rsidRPr="00FB31CB">
              <w:rPr>
                <w:rFonts w:ascii="Cambria" w:hAnsi="Cambria"/>
                <w:sz w:val="20"/>
                <w:szCs w:val="20"/>
                <w:highlight w:val="yellow"/>
              </w:rPr>
              <w:t>En el caso de la producción nacional, los productores deberán señalar precios para la venta de cervezas, sifones, refajos y mezclas de bebidas fermentadas con bebidas no alcohólicas a los vendedores al detal, de acuerdo con la calidad y contenido de la mismas, para cada una de las capitales de Departamento donde se hallen ubicadas fábricas productoras. Dichos precios serán el resultado de sumar los siguiente factores:</w:t>
            </w:r>
          </w:p>
          <w:p w:rsidR="007427A0" w:rsidRPr="00FB31CB" w:rsidRDefault="007427A0" w:rsidP="007427A0">
            <w:pPr>
              <w:jc w:val="both"/>
              <w:rPr>
                <w:rFonts w:ascii="Cambria" w:hAnsi="Cambria"/>
                <w:sz w:val="20"/>
                <w:szCs w:val="20"/>
                <w:highlight w:val="yellow"/>
              </w:rPr>
            </w:pPr>
          </w:p>
          <w:p w:rsidR="007427A0" w:rsidRPr="00FB31CB" w:rsidRDefault="007427A0" w:rsidP="007427A0">
            <w:pPr>
              <w:jc w:val="both"/>
              <w:rPr>
                <w:rFonts w:ascii="Cambria" w:hAnsi="Cambria"/>
                <w:sz w:val="20"/>
                <w:szCs w:val="20"/>
                <w:highlight w:val="yellow"/>
              </w:rPr>
            </w:pPr>
            <w:r w:rsidRPr="00FB31CB">
              <w:rPr>
                <w:rFonts w:ascii="Cambria" w:hAnsi="Cambria"/>
                <w:sz w:val="20"/>
                <w:szCs w:val="20"/>
                <w:highlight w:val="yellow"/>
              </w:rPr>
              <w:t>a) El precio de venta al detallista, el cual se define como el precio facturado a los expendedores en la capital del Departamento donde está situada la fábrica, excluido el impuesto al consumo;</w:t>
            </w:r>
          </w:p>
          <w:p w:rsidR="007427A0" w:rsidRPr="00FB31CB" w:rsidRDefault="007427A0" w:rsidP="007427A0">
            <w:pPr>
              <w:jc w:val="both"/>
              <w:rPr>
                <w:rFonts w:ascii="Cambria" w:hAnsi="Cambria"/>
                <w:sz w:val="20"/>
                <w:szCs w:val="20"/>
                <w:highlight w:val="yellow"/>
              </w:rPr>
            </w:pPr>
          </w:p>
          <w:p w:rsidR="007427A0" w:rsidRPr="007427A0" w:rsidRDefault="007427A0" w:rsidP="007427A0">
            <w:pPr>
              <w:jc w:val="both"/>
              <w:rPr>
                <w:rFonts w:ascii="Cambria" w:hAnsi="Cambria"/>
                <w:sz w:val="20"/>
                <w:szCs w:val="20"/>
              </w:rPr>
            </w:pPr>
            <w:r w:rsidRPr="00FB31CB">
              <w:rPr>
                <w:rFonts w:ascii="Cambria" w:hAnsi="Cambria"/>
                <w:sz w:val="20"/>
                <w:szCs w:val="20"/>
                <w:highlight w:val="yellow"/>
              </w:rPr>
              <w:t>b) El valor del impuesto al consumo.</w:t>
            </w:r>
          </w:p>
          <w:p w:rsidR="007427A0" w:rsidRDefault="007427A0" w:rsidP="007427A0">
            <w:pPr>
              <w:jc w:val="both"/>
              <w:rPr>
                <w:rFonts w:ascii="Cambria" w:hAnsi="Cambria"/>
                <w:sz w:val="20"/>
                <w:szCs w:val="20"/>
              </w:rPr>
            </w:pPr>
          </w:p>
          <w:p w:rsidR="007427A0" w:rsidRPr="007427A0" w:rsidRDefault="007427A0" w:rsidP="007427A0">
            <w:pPr>
              <w:jc w:val="both"/>
              <w:rPr>
                <w:rFonts w:ascii="Cambria" w:hAnsi="Cambria"/>
                <w:sz w:val="20"/>
                <w:szCs w:val="20"/>
              </w:rPr>
            </w:pPr>
            <w:r w:rsidRPr="007427A0">
              <w:rPr>
                <w:rFonts w:ascii="Cambria" w:hAnsi="Cambria"/>
                <w:sz w:val="20"/>
                <w:szCs w:val="20"/>
              </w:rPr>
              <w:t xml:space="preserve">En el caso de los productos extranjeros, el precio de venta al detallista se determina como el valor </w:t>
            </w:r>
            <w:r w:rsidRPr="007427A0">
              <w:rPr>
                <w:rFonts w:ascii="Cambria" w:hAnsi="Cambria"/>
                <w:sz w:val="20"/>
                <w:szCs w:val="20"/>
              </w:rPr>
              <w:lastRenderedPageBreak/>
              <w:t>en aduana de la mercancía, incluyendo los gravámenes arancelarios, adicionado con un margen de comercialización equivalente al 30%.</w:t>
            </w:r>
          </w:p>
          <w:p w:rsidR="007427A0" w:rsidRDefault="007427A0" w:rsidP="007427A0">
            <w:pPr>
              <w:jc w:val="both"/>
              <w:rPr>
                <w:rStyle w:val="baj"/>
                <w:rFonts w:ascii="Cambria" w:hAnsi="Cambria" w:cs="Open Sans"/>
                <w:b/>
                <w:bCs/>
                <w:color w:val="000000"/>
                <w:sz w:val="20"/>
                <w:szCs w:val="20"/>
              </w:rPr>
            </w:pPr>
          </w:p>
          <w:p w:rsidR="007427A0" w:rsidRPr="007427A0" w:rsidRDefault="007427A0" w:rsidP="007427A0">
            <w:pPr>
              <w:jc w:val="both"/>
              <w:rPr>
                <w:rFonts w:ascii="Cambria" w:hAnsi="Cambria"/>
                <w:sz w:val="20"/>
                <w:szCs w:val="20"/>
              </w:rPr>
            </w:pPr>
            <w:r w:rsidRPr="007427A0">
              <w:rPr>
                <w:rStyle w:val="baj"/>
                <w:rFonts w:ascii="Cambria" w:hAnsi="Cambria" w:cs="Open Sans"/>
                <w:b/>
                <w:bCs/>
                <w:color w:val="000000"/>
                <w:sz w:val="20"/>
                <w:szCs w:val="20"/>
              </w:rPr>
              <w:t>PARÁGRAFO 1o.</w:t>
            </w:r>
            <w:r w:rsidRPr="007427A0">
              <w:rPr>
                <w:rFonts w:ascii="Cambria" w:hAnsi="Cambria"/>
                <w:sz w:val="20"/>
                <w:szCs w:val="20"/>
              </w:rPr>
              <w:t xml:space="preserve"> No formará parte de la base gravable el valor de los empaques y envases, sean retornables o no </w:t>
            </w:r>
            <w:proofErr w:type="spellStart"/>
            <w:r w:rsidRPr="007427A0">
              <w:rPr>
                <w:rFonts w:ascii="Cambria" w:hAnsi="Cambria"/>
                <w:sz w:val="20"/>
                <w:szCs w:val="20"/>
              </w:rPr>
              <w:t>retornarbles</w:t>
            </w:r>
            <w:proofErr w:type="spellEnd"/>
            <w:r w:rsidRPr="007427A0">
              <w:rPr>
                <w:rFonts w:ascii="Cambria" w:hAnsi="Cambria"/>
                <w:sz w:val="20"/>
                <w:szCs w:val="20"/>
              </w:rPr>
              <w:t>.</w:t>
            </w:r>
          </w:p>
          <w:p w:rsidR="007427A0" w:rsidRDefault="007427A0" w:rsidP="007427A0">
            <w:pPr>
              <w:jc w:val="both"/>
              <w:rPr>
                <w:rStyle w:val="baj"/>
                <w:rFonts w:ascii="Cambria" w:hAnsi="Cambria" w:cs="Open Sans"/>
                <w:b/>
                <w:bCs/>
                <w:color w:val="000000"/>
                <w:sz w:val="20"/>
                <w:szCs w:val="20"/>
              </w:rPr>
            </w:pPr>
          </w:p>
          <w:p w:rsidR="007427A0" w:rsidRPr="007427A0" w:rsidRDefault="007427A0" w:rsidP="007427A0">
            <w:pPr>
              <w:jc w:val="both"/>
              <w:rPr>
                <w:rFonts w:ascii="Cambria" w:hAnsi="Cambria"/>
                <w:sz w:val="20"/>
                <w:szCs w:val="20"/>
              </w:rPr>
            </w:pPr>
            <w:r w:rsidRPr="007427A0">
              <w:rPr>
                <w:rStyle w:val="baj"/>
                <w:rFonts w:ascii="Cambria" w:hAnsi="Cambria" w:cs="Open Sans"/>
                <w:b/>
                <w:bCs/>
                <w:color w:val="000000"/>
                <w:sz w:val="20"/>
                <w:szCs w:val="20"/>
              </w:rPr>
              <w:t>PARÁGRAFO 2o.</w:t>
            </w:r>
            <w:r w:rsidRPr="007427A0">
              <w:rPr>
                <w:rFonts w:ascii="Cambria" w:hAnsi="Cambria"/>
                <w:sz w:val="20"/>
                <w:szCs w:val="20"/>
              </w:rPr>
              <w:t> En ningún caso el impuesto pagado por los productos extranjeros será inferior al promedio del impuesto que se cause por el consumo de cervezas, sifones, refajos y mezclas de bebidas fermentadas con bebidas no alcohólicas, según el caso, producidos en Colombia.</w:t>
            </w:r>
          </w:p>
          <w:p w:rsidR="009E279D" w:rsidRPr="007427A0" w:rsidRDefault="009E279D" w:rsidP="007427A0">
            <w:pPr>
              <w:jc w:val="both"/>
              <w:rPr>
                <w:rFonts w:ascii="Cambria" w:hAnsi="Cambria"/>
                <w:sz w:val="20"/>
                <w:szCs w:val="20"/>
              </w:rPr>
            </w:pPr>
          </w:p>
        </w:tc>
        <w:tc>
          <w:tcPr>
            <w:tcW w:w="4414" w:type="dxa"/>
          </w:tcPr>
          <w:p w:rsidR="00FB31CB" w:rsidRPr="00FB31CB" w:rsidRDefault="00FB31CB" w:rsidP="00FB31CB">
            <w:pPr>
              <w:jc w:val="both"/>
              <w:rPr>
                <w:rFonts w:ascii="Cambria" w:hAnsi="Cambria"/>
                <w:sz w:val="20"/>
                <w:szCs w:val="20"/>
              </w:rPr>
            </w:pPr>
            <w:r w:rsidRPr="00FB31CB">
              <w:rPr>
                <w:rFonts w:ascii="Cambria" w:hAnsi="Cambria"/>
                <w:b/>
                <w:bCs/>
                <w:sz w:val="20"/>
                <w:szCs w:val="20"/>
              </w:rPr>
              <w:lastRenderedPageBreak/>
              <w:t>Artículo 189. Base gravable</w:t>
            </w:r>
            <w:r>
              <w:rPr>
                <w:rFonts w:ascii="Cambria" w:hAnsi="Cambria"/>
                <w:b/>
                <w:bCs/>
                <w:sz w:val="20"/>
                <w:szCs w:val="20"/>
              </w:rPr>
              <w:t xml:space="preserve"> </w:t>
            </w:r>
            <w:r w:rsidRPr="00FB31CB">
              <w:rPr>
                <w:rFonts w:ascii="Cambria" w:hAnsi="Cambria"/>
                <w:b/>
                <w:bCs/>
                <w:color w:val="FF0000"/>
                <w:sz w:val="20"/>
                <w:szCs w:val="20"/>
              </w:rPr>
              <w:t>(modificado con artículos 3</w:t>
            </w:r>
            <w:r>
              <w:rPr>
                <w:rFonts w:ascii="Cambria" w:hAnsi="Cambria"/>
                <w:b/>
                <w:bCs/>
                <w:color w:val="FF0000"/>
                <w:sz w:val="20"/>
                <w:szCs w:val="20"/>
              </w:rPr>
              <w:t>5</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FB31CB">
              <w:rPr>
                <w:rFonts w:ascii="Cambria" w:hAnsi="Cambria"/>
                <w:b/>
                <w:bCs/>
                <w:color w:val="FF0000"/>
                <w:sz w:val="20"/>
                <w:szCs w:val="20"/>
              </w:rPr>
              <w:t>).</w:t>
            </w:r>
            <w:r w:rsidRPr="00FB31CB">
              <w:rPr>
                <w:rFonts w:ascii="Cambria" w:hAnsi="Cambria"/>
                <w:b/>
                <w:bCs/>
                <w:sz w:val="20"/>
                <w:szCs w:val="20"/>
              </w:rPr>
              <w:t xml:space="preserve">. </w:t>
            </w:r>
            <w:r w:rsidRPr="00FB31CB">
              <w:rPr>
                <w:rFonts w:ascii="Cambria" w:hAnsi="Cambria"/>
                <w:sz w:val="20"/>
                <w:szCs w:val="20"/>
                <w:highlight w:val="yellow"/>
              </w:rPr>
              <w:t xml:space="preserve">El impuesto al consumo de cervezas, con o sin alcohol, sifones, refajos y mezclas de bebidas fermentadas con bebidas no alcohólicas está conformado por un componente específico y uno ad </w:t>
            </w:r>
            <w:proofErr w:type="spellStart"/>
            <w:r w:rsidRPr="00FB31CB">
              <w:rPr>
                <w:rFonts w:ascii="Cambria" w:hAnsi="Cambria"/>
                <w:sz w:val="20"/>
                <w:szCs w:val="20"/>
                <w:highlight w:val="yellow"/>
              </w:rPr>
              <w:t>valorem</w:t>
            </w:r>
            <w:proofErr w:type="spellEnd"/>
            <w:r w:rsidRPr="00FB31CB">
              <w:rPr>
                <w:rFonts w:ascii="Cambria" w:hAnsi="Cambria"/>
                <w:sz w:val="20"/>
                <w:szCs w:val="20"/>
              </w:rPr>
              <w:t xml:space="preserve">. </w:t>
            </w:r>
          </w:p>
          <w:p w:rsidR="00FB31CB" w:rsidRDefault="00FB31CB" w:rsidP="00FB31CB">
            <w:pPr>
              <w:jc w:val="both"/>
              <w:rPr>
                <w:rFonts w:ascii="Cambria" w:hAnsi="Cambria"/>
                <w:sz w:val="20"/>
                <w:szCs w:val="20"/>
              </w:rPr>
            </w:pPr>
          </w:p>
          <w:p w:rsidR="00FB31CB" w:rsidRP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1.Componente específico. La base gravable del componente específico es el volumen de alcohol que contenga el producto, expresado en grados </w:t>
            </w:r>
            <w:proofErr w:type="spellStart"/>
            <w:r w:rsidRPr="00FB31CB">
              <w:rPr>
                <w:rFonts w:ascii="Cambria" w:hAnsi="Cambria"/>
                <w:sz w:val="20"/>
                <w:szCs w:val="20"/>
                <w:highlight w:val="yellow"/>
              </w:rPr>
              <w:t>alcoholimétricos</w:t>
            </w:r>
            <w:proofErr w:type="spellEnd"/>
            <w:r w:rsidRPr="00FB31CB">
              <w:rPr>
                <w:rFonts w:ascii="Cambria" w:hAnsi="Cambria"/>
                <w:sz w:val="20"/>
                <w:szCs w:val="20"/>
                <w:highlight w:val="yellow"/>
              </w:rPr>
              <w:t xml:space="preserve">.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sz w:val="20"/>
                <w:szCs w:val="20"/>
              </w:rPr>
            </w:pPr>
            <w:r w:rsidRPr="00FB31CB">
              <w:rPr>
                <w:rFonts w:ascii="Cambria" w:hAnsi="Cambria"/>
                <w:sz w:val="20"/>
                <w:szCs w:val="20"/>
                <w:highlight w:val="yellow"/>
              </w:rPr>
              <w:t xml:space="preserve">2.Componente ad </w:t>
            </w:r>
            <w:proofErr w:type="spellStart"/>
            <w:r w:rsidRPr="00FB31CB">
              <w:rPr>
                <w:rFonts w:ascii="Cambria" w:hAnsi="Cambria"/>
                <w:sz w:val="20"/>
                <w:szCs w:val="20"/>
                <w:highlight w:val="yellow"/>
              </w:rPr>
              <w:t>valorem</w:t>
            </w:r>
            <w:proofErr w:type="spellEnd"/>
            <w:r w:rsidRPr="00FB31CB">
              <w:rPr>
                <w:rFonts w:ascii="Cambria" w:hAnsi="Cambria"/>
                <w:sz w:val="20"/>
                <w:szCs w:val="20"/>
                <w:highlight w:val="yellow"/>
              </w:rPr>
              <w:t xml:space="preserve">. La base gravable del componente ad </w:t>
            </w:r>
            <w:proofErr w:type="spellStart"/>
            <w:r w:rsidRPr="00FB31CB">
              <w:rPr>
                <w:rFonts w:ascii="Cambria" w:hAnsi="Cambria"/>
                <w:sz w:val="20"/>
                <w:szCs w:val="20"/>
                <w:highlight w:val="yellow"/>
              </w:rPr>
              <w:t>valorem</w:t>
            </w:r>
            <w:proofErr w:type="spellEnd"/>
            <w:r w:rsidRPr="00FB31CB">
              <w:rPr>
                <w:rFonts w:ascii="Cambria" w:hAnsi="Cambria"/>
                <w:sz w:val="20"/>
                <w:szCs w:val="20"/>
                <w:highlight w:val="yellow"/>
              </w:rPr>
              <w:t xml:space="preserve"> es el precio de venta al público por unidad de 330 centímetros cúbicos, sin incluir el impuesto al consumo ni el IVA, certificado anualmente por el Departamento Administrativo Nacional de Estadística (DANE), garantizando la individualidad de cada producto</w:t>
            </w:r>
            <w:r w:rsidRPr="00FB31CB">
              <w:rPr>
                <w:rFonts w:ascii="Cambria" w:hAnsi="Cambria"/>
                <w:sz w:val="20"/>
                <w:szCs w:val="20"/>
              </w:rPr>
              <w:t xml:space="preserve">. </w:t>
            </w:r>
          </w:p>
          <w:p w:rsidR="00FB31CB" w:rsidRDefault="00FB31CB" w:rsidP="00FB31CB">
            <w:pPr>
              <w:jc w:val="both"/>
              <w:rPr>
                <w:rFonts w:ascii="Cambria" w:hAnsi="Cambria"/>
                <w:b/>
                <w:bCs/>
                <w:sz w:val="20"/>
                <w:szCs w:val="20"/>
              </w:rPr>
            </w:pPr>
          </w:p>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highlight w:val="yellow"/>
              </w:rPr>
              <w:t xml:space="preserve">Parágrafo 1. </w:t>
            </w:r>
            <w:r w:rsidRPr="00FB31CB">
              <w:rPr>
                <w:rFonts w:ascii="Cambria" w:hAnsi="Cambria"/>
                <w:sz w:val="20"/>
                <w:szCs w:val="20"/>
                <w:highlight w:val="yellow"/>
              </w:rPr>
              <w:t xml:space="preserve">El grado de contenido </w:t>
            </w:r>
            <w:proofErr w:type="spellStart"/>
            <w:r w:rsidRPr="00FB31CB">
              <w:rPr>
                <w:rFonts w:ascii="Cambria" w:hAnsi="Cambria"/>
                <w:sz w:val="20"/>
                <w:szCs w:val="20"/>
                <w:highlight w:val="yellow"/>
              </w:rPr>
              <w:t>alcoholimétrico</w:t>
            </w:r>
            <w:proofErr w:type="spellEnd"/>
            <w:r w:rsidRPr="00FB31CB">
              <w:rPr>
                <w:rFonts w:ascii="Cambria" w:hAnsi="Cambria"/>
                <w:sz w:val="20"/>
                <w:szCs w:val="20"/>
                <w:highlight w:val="yellow"/>
              </w:rPr>
              <w:t xml:space="preserve"> deberá expresarse en la </w:t>
            </w:r>
            <w:r w:rsidRPr="00FB31CB">
              <w:rPr>
                <w:rFonts w:ascii="Cambria" w:hAnsi="Cambria"/>
                <w:sz w:val="20"/>
                <w:szCs w:val="20"/>
                <w:highlight w:val="yellow"/>
              </w:rPr>
              <w:lastRenderedPageBreak/>
              <w:t xml:space="preserve">publicidad y en el envase. Esta disposición estará sujeta a verificación técnica por parte de los departamentos, quienes podrán realizar la verificación directamente o a través de empresas o entidades especializadas. En caso de discrepancia respecto al dictamen proferido, la segunda y definitiva instancia corresponderá al Instituto Nacional de Vigilancia de Medicamentos y Alimentos (Invima). </w:t>
            </w:r>
          </w:p>
          <w:p w:rsidR="00FB31CB" w:rsidRPr="00FB31CB" w:rsidRDefault="00FB31CB" w:rsidP="00FB31CB">
            <w:pPr>
              <w:jc w:val="both"/>
              <w:rPr>
                <w:rFonts w:ascii="Cambria" w:hAnsi="Cambria"/>
                <w:b/>
                <w:bCs/>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highlight w:val="yellow"/>
              </w:rPr>
              <w:t xml:space="preserve">Parágrafo 2. </w:t>
            </w:r>
            <w:r w:rsidRPr="00FB31CB">
              <w:rPr>
                <w:rFonts w:ascii="Cambria" w:hAnsi="Cambria"/>
                <w:sz w:val="20"/>
                <w:szCs w:val="20"/>
                <w:highlight w:val="yellow"/>
              </w:rPr>
              <w:t xml:space="preserve">Para efectos de la certificación de que trata el presente artículo, el DANE se encuentra facultado para desarrollar directa o indirectamente a través de terceros, todas las gestiones indispensables para determinar anualmente el precio de venta al público de los productos sujetos al impuesto de consumo. Esta certificación deberá expedirse antes del 1º de enero de cada año.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El DANE deberá certificar la base gravable para cada uno de los productos específicos sujetos al impuesto al consumo de cervezas, sifones, refajos y mezclas de bebidas fermentadas con bebidas no alcohólicas.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sz w:val="20"/>
                <w:szCs w:val="20"/>
                <w:highlight w:val="yellow"/>
              </w:rPr>
              <w:t>Las personas naturales o jurídicas, de cualquier orden o naturaleza, domiciliadas o residentes en el territorio nacional, están obligadas a suministrar al DANE, los datos solicitados para</w:t>
            </w:r>
            <w:r w:rsidRPr="00FB31CB">
              <w:rPr>
                <w:rFonts w:ascii="Cambria" w:hAnsi="Cambria"/>
                <w:sz w:val="20"/>
                <w:szCs w:val="20"/>
              </w:rPr>
              <w:t xml:space="preserve"> </w:t>
            </w:r>
            <w:r w:rsidRPr="00FB31CB">
              <w:rPr>
                <w:rFonts w:ascii="Cambria" w:hAnsi="Cambria"/>
                <w:sz w:val="20"/>
                <w:szCs w:val="20"/>
                <w:highlight w:val="yellow"/>
              </w:rPr>
              <w:t xml:space="preserve">efectos de determinar el precio de venta al público de los productos sujetos al impuesto al consumo de cervezas, sifones, refajos y mezclas de bebidas fermentadas con bebidas no alcohólicas. </w:t>
            </w:r>
          </w:p>
          <w:p w:rsidR="00FB31CB" w:rsidRPr="00FB31CB" w:rsidRDefault="00FB31CB" w:rsidP="00FB31CB">
            <w:pPr>
              <w:jc w:val="both"/>
              <w:rPr>
                <w:rFonts w:ascii="Cambria" w:hAnsi="Cambria"/>
                <w:sz w:val="20"/>
                <w:szCs w:val="20"/>
                <w:highlight w:val="yellow"/>
              </w:rPr>
            </w:pPr>
          </w:p>
          <w:p w:rsidR="009E279D" w:rsidRDefault="00FB31CB" w:rsidP="00FB31CB">
            <w:pPr>
              <w:jc w:val="both"/>
              <w:rPr>
                <w:rFonts w:ascii="Cambria" w:hAnsi="Cambria"/>
                <w:sz w:val="20"/>
                <w:szCs w:val="20"/>
              </w:rPr>
            </w:pPr>
            <w:r w:rsidRPr="00FB31CB">
              <w:rPr>
                <w:rFonts w:ascii="Cambria" w:hAnsi="Cambria"/>
                <w:sz w:val="20"/>
                <w:szCs w:val="20"/>
                <w:highlight w:val="yellow"/>
              </w:rPr>
              <w:t>Las personas naturales o jurídicas que incumplan u obstaculicen los requerimientos de información del DANE estarán sujetas a las sanciones y multas señaladas en el artículo 6º de la Ley 79 de 1993.</w:t>
            </w:r>
            <w:r w:rsidRPr="00FB31CB">
              <w:rPr>
                <w:rFonts w:ascii="Cambria" w:hAnsi="Cambria"/>
                <w:sz w:val="20"/>
                <w:szCs w:val="20"/>
              </w:rPr>
              <w:t xml:space="preserve"> </w:t>
            </w:r>
          </w:p>
          <w:p w:rsidR="00FB31CB" w:rsidRPr="00FB31CB" w:rsidRDefault="00FB31CB" w:rsidP="00FB31CB">
            <w:pPr>
              <w:jc w:val="both"/>
              <w:rPr>
                <w:rFonts w:ascii="Cambria" w:hAnsi="Cambria"/>
                <w:sz w:val="20"/>
                <w:szCs w:val="20"/>
                <w:lang w:val="es-ES"/>
              </w:rPr>
            </w:pPr>
          </w:p>
        </w:tc>
      </w:tr>
      <w:tr w:rsidR="007427A0" w:rsidTr="0092734A">
        <w:tc>
          <w:tcPr>
            <w:tcW w:w="4414" w:type="dxa"/>
          </w:tcPr>
          <w:p w:rsidR="007427A0" w:rsidRPr="00FB31CB" w:rsidRDefault="007427A0" w:rsidP="007427A0">
            <w:pPr>
              <w:jc w:val="both"/>
              <w:rPr>
                <w:rFonts w:ascii="Cambria" w:hAnsi="Cambria"/>
                <w:sz w:val="20"/>
                <w:szCs w:val="20"/>
                <w:highlight w:val="yellow"/>
              </w:rPr>
            </w:pPr>
            <w:bookmarkStart w:id="53" w:name="190"/>
            <w:r w:rsidRPr="007427A0">
              <w:rPr>
                <w:rFonts w:ascii="Cambria" w:hAnsi="Cambria"/>
                <w:b/>
                <w:bCs/>
                <w:color w:val="000000" w:themeColor="text1"/>
                <w:sz w:val="20"/>
                <w:szCs w:val="20"/>
              </w:rPr>
              <w:lastRenderedPageBreak/>
              <w:t>Artículo 190. Tarifas</w:t>
            </w:r>
            <w:r w:rsidRPr="007427A0">
              <w:rPr>
                <w:rFonts w:ascii="Cambria" w:hAnsi="Cambria"/>
                <w:b/>
                <w:bCs/>
                <w:color w:val="BE9E55"/>
                <w:sz w:val="20"/>
                <w:szCs w:val="20"/>
              </w:rPr>
              <w:t>.</w:t>
            </w:r>
            <w:bookmarkEnd w:id="53"/>
            <w:r w:rsidRPr="007427A0">
              <w:rPr>
                <w:rFonts w:ascii="Cambria" w:hAnsi="Cambria"/>
                <w:sz w:val="20"/>
                <w:szCs w:val="20"/>
              </w:rPr>
              <w:t> </w:t>
            </w:r>
            <w:r w:rsidRPr="00FB31CB">
              <w:rPr>
                <w:rFonts w:ascii="Cambria" w:hAnsi="Cambria"/>
                <w:sz w:val="20"/>
                <w:szCs w:val="20"/>
                <w:highlight w:val="yellow"/>
              </w:rPr>
              <w:t>Las tarifas de este impuesto son las siguientes:</w:t>
            </w:r>
          </w:p>
          <w:p w:rsidR="007427A0" w:rsidRPr="00FB31CB" w:rsidRDefault="007427A0" w:rsidP="007427A0">
            <w:pPr>
              <w:jc w:val="both"/>
              <w:rPr>
                <w:rFonts w:ascii="Cambria" w:hAnsi="Cambria"/>
                <w:sz w:val="20"/>
                <w:szCs w:val="20"/>
                <w:highlight w:val="yellow"/>
              </w:rPr>
            </w:pPr>
            <w:r w:rsidRPr="00FB31CB">
              <w:rPr>
                <w:rFonts w:ascii="Cambria" w:hAnsi="Cambria"/>
                <w:sz w:val="20"/>
                <w:szCs w:val="20"/>
                <w:highlight w:val="yellow"/>
              </w:rPr>
              <w:t>Cervezas y sifones: 48%.</w:t>
            </w:r>
          </w:p>
          <w:p w:rsidR="007427A0" w:rsidRPr="00FB31CB" w:rsidRDefault="007427A0" w:rsidP="007427A0">
            <w:pPr>
              <w:jc w:val="both"/>
              <w:rPr>
                <w:rFonts w:ascii="Cambria" w:hAnsi="Cambria"/>
                <w:sz w:val="20"/>
                <w:szCs w:val="20"/>
                <w:highlight w:val="yellow"/>
              </w:rPr>
            </w:pPr>
            <w:r w:rsidRPr="00FB31CB">
              <w:rPr>
                <w:rFonts w:ascii="Cambria" w:hAnsi="Cambria"/>
                <w:sz w:val="20"/>
                <w:szCs w:val="20"/>
                <w:highlight w:val="yellow"/>
              </w:rPr>
              <w:t>Mezclas y refajos: 20%.</w:t>
            </w:r>
          </w:p>
          <w:p w:rsidR="007427A0" w:rsidRPr="00FB31CB" w:rsidRDefault="007427A0" w:rsidP="007427A0">
            <w:pPr>
              <w:jc w:val="both"/>
              <w:rPr>
                <w:rStyle w:val="baj"/>
                <w:rFonts w:ascii="Cambria" w:hAnsi="Cambria" w:cs="Open Sans"/>
                <w:b/>
                <w:bCs/>
                <w:color w:val="000000"/>
                <w:sz w:val="20"/>
                <w:szCs w:val="20"/>
                <w:highlight w:val="yellow"/>
              </w:rPr>
            </w:pPr>
          </w:p>
          <w:p w:rsidR="007427A0" w:rsidRPr="00FB31CB" w:rsidRDefault="007427A0" w:rsidP="007427A0">
            <w:pPr>
              <w:jc w:val="both"/>
              <w:rPr>
                <w:rFonts w:ascii="Cambria" w:hAnsi="Cambria"/>
                <w:sz w:val="20"/>
                <w:szCs w:val="20"/>
                <w:highlight w:val="yellow"/>
              </w:rPr>
            </w:pPr>
            <w:r w:rsidRPr="00FB31CB">
              <w:rPr>
                <w:rStyle w:val="baj"/>
                <w:rFonts w:ascii="Cambria" w:hAnsi="Cambria" w:cs="Open Sans"/>
                <w:b/>
                <w:bCs/>
                <w:color w:val="000000"/>
                <w:sz w:val="20"/>
                <w:szCs w:val="20"/>
                <w:highlight w:val="yellow"/>
              </w:rPr>
              <w:t xml:space="preserve">PARÁGRAFO. </w:t>
            </w:r>
            <w:r w:rsidRPr="00FB31CB">
              <w:rPr>
                <w:rFonts w:ascii="Cambria" w:hAnsi="Cambria"/>
                <w:sz w:val="20"/>
                <w:szCs w:val="20"/>
                <w:highlight w:val="yellow"/>
              </w:rPr>
              <w:t xml:space="preserve">De la tarifa del 48% aplicable a las cervezas y sifones, ocho (8) puntos porcentuales se destinarán a financiar la universalización en el aseguramiento, la unificación de los planes obligatorios de salud de los regímenes contributivo y subsidiado, los servicios prestados a la población pobre en lo no cubierto por subsidios a la demanda y a la población vinculada que se atienda a través de la red hospitalaria </w:t>
            </w:r>
            <w:r w:rsidRPr="00FB31CB">
              <w:rPr>
                <w:rFonts w:ascii="Cambria" w:hAnsi="Cambria"/>
                <w:sz w:val="20"/>
                <w:szCs w:val="20"/>
                <w:highlight w:val="yellow"/>
              </w:rPr>
              <w:lastRenderedPageBreak/>
              <w:t>pública, de acuerdo con las condiciones y prioridades que para tal efecto defina la entidad territorial.</w:t>
            </w:r>
          </w:p>
          <w:p w:rsidR="00FB31CB" w:rsidRPr="00FB31CB" w:rsidRDefault="00FB31CB" w:rsidP="007427A0">
            <w:pPr>
              <w:jc w:val="both"/>
              <w:rPr>
                <w:rFonts w:ascii="Cambria" w:hAnsi="Cambria"/>
                <w:sz w:val="20"/>
                <w:szCs w:val="20"/>
                <w:highlight w:val="yellow"/>
              </w:rPr>
            </w:pPr>
          </w:p>
          <w:p w:rsidR="007427A0" w:rsidRPr="00FB31CB" w:rsidRDefault="007427A0" w:rsidP="007427A0">
            <w:pPr>
              <w:jc w:val="both"/>
              <w:rPr>
                <w:rFonts w:ascii="Cambria" w:hAnsi="Cambria"/>
                <w:sz w:val="20"/>
                <w:szCs w:val="20"/>
                <w:highlight w:val="yellow"/>
              </w:rPr>
            </w:pPr>
            <w:r w:rsidRPr="00FB31CB">
              <w:rPr>
                <w:rFonts w:ascii="Cambria" w:hAnsi="Cambria"/>
                <w:sz w:val="20"/>
                <w:szCs w:val="20"/>
                <w:highlight w:val="yellow"/>
              </w:rPr>
              <w:t>Los productores nacionales y el Fondo Cuenta de Impuestos al consumo de Productos Extranjeros girarán directamente a los Fondos o Direcciones Seccionales de Salud y al Fondo Distrital de Salud, según el caso, el porcentaje mencionado dentro de los quince (15) días calendario siguientes al vencimiento de cada periodo gravable.</w:t>
            </w:r>
          </w:p>
          <w:p w:rsidR="00FB31CB" w:rsidRPr="00FB31CB" w:rsidRDefault="00FB31CB" w:rsidP="007427A0">
            <w:pPr>
              <w:jc w:val="both"/>
              <w:rPr>
                <w:rFonts w:ascii="Cambria" w:hAnsi="Cambria"/>
                <w:sz w:val="20"/>
                <w:szCs w:val="20"/>
                <w:highlight w:val="yellow"/>
              </w:rPr>
            </w:pPr>
          </w:p>
          <w:p w:rsidR="007427A0" w:rsidRPr="007427A0" w:rsidRDefault="007427A0" w:rsidP="007427A0">
            <w:pPr>
              <w:jc w:val="both"/>
              <w:rPr>
                <w:rFonts w:ascii="Cambria" w:hAnsi="Cambria"/>
                <w:sz w:val="20"/>
                <w:szCs w:val="20"/>
              </w:rPr>
            </w:pPr>
            <w:r w:rsidRPr="00FB31CB">
              <w:rPr>
                <w:rFonts w:ascii="Cambria" w:hAnsi="Cambria"/>
                <w:sz w:val="20"/>
                <w:szCs w:val="20"/>
                <w:highlight w:val="yellow"/>
              </w:rPr>
              <w:t>Los recursos establecidos en el presente parágrafo también podrán ser destinados para el pago de los servicios que se hayan prestado o se presten por concepto de urgencias a la población migrante regular no afiliada o irregular. La Nación podrá cofinanciar el pago de los mismos, siempre y cuando la entidad territorial certifique la auditoría de las cuentas y la insuficiencia de recursos para financiar dichas atenciones.</w:t>
            </w:r>
          </w:p>
          <w:p w:rsidR="007427A0" w:rsidRPr="007427A0" w:rsidRDefault="007427A0" w:rsidP="007427A0">
            <w:pPr>
              <w:jc w:val="both"/>
              <w:rPr>
                <w:rFonts w:ascii="Cambria" w:hAnsi="Cambria"/>
                <w:b/>
                <w:bCs/>
                <w:color w:val="BE9E55"/>
                <w:sz w:val="20"/>
                <w:szCs w:val="20"/>
              </w:rPr>
            </w:pPr>
          </w:p>
        </w:tc>
        <w:tc>
          <w:tcPr>
            <w:tcW w:w="4414" w:type="dxa"/>
          </w:tcPr>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rPr>
              <w:lastRenderedPageBreak/>
              <w:t>Artículo 190. Tarifas</w:t>
            </w:r>
            <w:r>
              <w:rPr>
                <w:rFonts w:ascii="Cambria" w:hAnsi="Cambria"/>
                <w:b/>
                <w:bCs/>
                <w:sz w:val="20"/>
                <w:szCs w:val="20"/>
              </w:rPr>
              <w:t xml:space="preserve"> </w:t>
            </w:r>
            <w:r w:rsidR="00EE3358" w:rsidRPr="00EE3358">
              <w:rPr>
                <w:rFonts w:ascii="Cambria" w:hAnsi="Cambria"/>
                <w:b/>
                <w:bCs/>
                <w:color w:val="FF0000"/>
                <w:sz w:val="20"/>
                <w:szCs w:val="20"/>
              </w:rPr>
              <w:t>(</w:t>
            </w:r>
            <w:r w:rsidRPr="00EE3358">
              <w:rPr>
                <w:rFonts w:ascii="Cambria" w:hAnsi="Cambria"/>
                <w:b/>
                <w:bCs/>
                <w:color w:val="FF0000"/>
                <w:sz w:val="20"/>
                <w:szCs w:val="20"/>
              </w:rPr>
              <w:t xml:space="preserve">modificado </w:t>
            </w:r>
            <w:r w:rsidRPr="00FB31CB">
              <w:rPr>
                <w:rFonts w:ascii="Cambria" w:hAnsi="Cambria"/>
                <w:b/>
                <w:bCs/>
                <w:color w:val="FF0000"/>
                <w:sz w:val="20"/>
                <w:szCs w:val="20"/>
              </w:rPr>
              <w:t>con artículos 3</w:t>
            </w:r>
            <w:r>
              <w:rPr>
                <w:rFonts w:ascii="Cambria" w:hAnsi="Cambria"/>
                <w:b/>
                <w:bCs/>
                <w:color w:val="FF0000"/>
                <w:sz w:val="20"/>
                <w:szCs w:val="20"/>
              </w:rPr>
              <w:t>6</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FB31CB">
              <w:rPr>
                <w:rFonts w:ascii="Cambria" w:hAnsi="Cambria"/>
                <w:b/>
                <w:bCs/>
                <w:color w:val="FF0000"/>
                <w:sz w:val="20"/>
                <w:szCs w:val="20"/>
              </w:rPr>
              <w:t>)</w:t>
            </w:r>
            <w:r w:rsidRPr="00FB31CB">
              <w:rPr>
                <w:rFonts w:ascii="Cambria" w:hAnsi="Cambria"/>
                <w:b/>
                <w:bCs/>
                <w:sz w:val="20"/>
                <w:szCs w:val="20"/>
              </w:rPr>
              <w:t xml:space="preserve">. </w:t>
            </w:r>
            <w:r w:rsidRPr="00FB31CB">
              <w:rPr>
                <w:rFonts w:ascii="Cambria" w:hAnsi="Cambria"/>
                <w:sz w:val="20"/>
                <w:szCs w:val="20"/>
              </w:rPr>
              <w:t xml:space="preserve">Las tarifas del impuesto al consumo de cervezas, </w:t>
            </w:r>
            <w:r w:rsidRPr="00FB31CB">
              <w:rPr>
                <w:rFonts w:ascii="Cambria" w:hAnsi="Cambria"/>
                <w:sz w:val="20"/>
                <w:szCs w:val="20"/>
                <w:highlight w:val="yellow"/>
              </w:rPr>
              <w:t xml:space="preserve">con o sin alcohol, sifones, refajos y mezclas de bebidas fermentadas con bebidas no alcohólicas, serán las siguientes: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cs="Aptos"/>
                <w:sz w:val="20"/>
                <w:szCs w:val="20"/>
                <w:highlight w:val="yellow"/>
              </w:rPr>
            </w:pPr>
            <w:r w:rsidRPr="00FB31CB">
              <w:rPr>
                <w:rFonts w:ascii="Cambria" w:hAnsi="Cambria"/>
                <w:sz w:val="20"/>
                <w:szCs w:val="20"/>
                <w:highlight w:val="yellow"/>
              </w:rPr>
              <w:t>1. Componente específico.</w:t>
            </w:r>
          </w:p>
          <w:p w:rsidR="00FB31CB" w:rsidRPr="00FB31CB" w:rsidRDefault="00FB31CB" w:rsidP="00FB31CB">
            <w:pPr>
              <w:jc w:val="both"/>
              <w:rPr>
                <w:rFonts w:ascii="Cambria" w:hAnsi="Cambria" w:cstheme="minorBidi"/>
                <w:sz w:val="20"/>
                <w:szCs w:val="20"/>
                <w:highlight w:val="yellow"/>
              </w:rPr>
            </w:pPr>
          </w:p>
          <w:p w:rsid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La tarifa del componente específico del impuesto al consumo de cervezas y sifones, por cada grado </w:t>
            </w:r>
            <w:proofErr w:type="spellStart"/>
            <w:r w:rsidRPr="00FB31CB">
              <w:rPr>
                <w:rFonts w:ascii="Cambria" w:hAnsi="Cambria"/>
                <w:sz w:val="20"/>
                <w:szCs w:val="20"/>
                <w:highlight w:val="yellow"/>
              </w:rPr>
              <w:t>alcoholimétrico</w:t>
            </w:r>
            <w:proofErr w:type="spellEnd"/>
            <w:r w:rsidRPr="00FB31CB">
              <w:rPr>
                <w:rFonts w:ascii="Cambria" w:hAnsi="Cambria"/>
                <w:sz w:val="20"/>
                <w:szCs w:val="20"/>
                <w:highlight w:val="yellow"/>
              </w:rPr>
              <w:t xml:space="preserve"> en unidad de 330 centímetros cúbicos, o su equivalente, será de $330. La tarifa aplicable para refajos y mezclas de bebidas </w:t>
            </w:r>
            <w:r w:rsidRPr="00FB31CB">
              <w:rPr>
                <w:rFonts w:ascii="Cambria" w:hAnsi="Cambria"/>
                <w:sz w:val="20"/>
                <w:szCs w:val="20"/>
                <w:highlight w:val="yellow"/>
              </w:rPr>
              <w:lastRenderedPageBreak/>
              <w:t xml:space="preserve">fermentadas con bebidas no alcohólicas, por cada grado </w:t>
            </w:r>
            <w:proofErr w:type="spellStart"/>
            <w:r w:rsidRPr="00FB31CB">
              <w:rPr>
                <w:rFonts w:ascii="Cambria" w:hAnsi="Cambria"/>
                <w:sz w:val="20"/>
                <w:szCs w:val="20"/>
                <w:highlight w:val="yellow"/>
              </w:rPr>
              <w:t>alcoholimétrico</w:t>
            </w:r>
            <w:proofErr w:type="spellEnd"/>
            <w:r w:rsidRPr="00FB31CB">
              <w:rPr>
                <w:rFonts w:ascii="Cambria" w:hAnsi="Cambria"/>
                <w:sz w:val="20"/>
                <w:szCs w:val="20"/>
                <w:highlight w:val="yellow"/>
              </w:rPr>
              <w:t xml:space="preserve"> en unidad de 330 centímetros cúbicos o su equivalente, será de $330.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2. Componente ad </w:t>
            </w:r>
            <w:proofErr w:type="spellStart"/>
            <w:r w:rsidRPr="00FB31CB">
              <w:rPr>
                <w:rFonts w:ascii="Cambria" w:hAnsi="Cambria"/>
                <w:sz w:val="20"/>
                <w:szCs w:val="20"/>
                <w:highlight w:val="yellow"/>
              </w:rPr>
              <w:t>valorem</w:t>
            </w:r>
            <w:proofErr w:type="spellEnd"/>
            <w:r w:rsidRPr="00FB31CB">
              <w:rPr>
                <w:rFonts w:ascii="Cambria" w:hAnsi="Cambria"/>
                <w:sz w:val="20"/>
                <w:szCs w:val="20"/>
                <w:highlight w:val="yellow"/>
              </w:rPr>
              <w:t xml:space="preserve">. </w:t>
            </w:r>
          </w:p>
          <w:p w:rsid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El componente ad </w:t>
            </w:r>
            <w:proofErr w:type="spellStart"/>
            <w:r w:rsidRPr="00FB31CB">
              <w:rPr>
                <w:rFonts w:ascii="Cambria" w:hAnsi="Cambria"/>
                <w:sz w:val="20"/>
                <w:szCs w:val="20"/>
                <w:highlight w:val="yellow"/>
              </w:rPr>
              <w:t>valorem</w:t>
            </w:r>
            <w:proofErr w:type="spellEnd"/>
            <w:r w:rsidRPr="00FB31CB">
              <w:rPr>
                <w:rFonts w:ascii="Cambria" w:hAnsi="Cambria"/>
                <w:sz w:val="20"/>
                <w:szCs w:val="20"/>
                <w:highlight w:val="yellow"/>
              </w:rPr>
              <w:t xml:space="preserve"> del impuesto al consumo de cervezas, con o sin alcohol, y sifones, se liquidará aplicando una tarifa del 30% sobre el precio de venta al público sin incluir el impuesto al consumo ni el IVA, certificado por el DANE. La tarifa aplicable para refajos y mezclas de bebidas fermentadas con bebidas no alcohólicas será del 30% sobre el precio de venta al público sin incluir el impuesto al consumo ni el IVA, certificado por el DANE. </w:t>
            </w:r>
          </w:p>
          <w:p w:rsidR="00FB31CB" w:rsidRPr="00FB31CB" w:rsidRDefault="00FB31CB" w:rsidP="00FB31CB">
            <w:pPr>
              <w:jc w:val="both"/>
              <w:rPr>
                <w:rFonts w:ascii="Cambria" w:hAnsi="Cambria"/>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highlight w:val="yellow"/>
              </w:rPr>
              <w:t xml:space="preserve">Parágrafo 1. </w:t>
            </w:r>
            <w:r w:rsidRPr="00FB31CB">
              <w:rPr>
                <w:rFonts w:ascii="Cambria" w:hAnsi="Cambria"/>
                <w:sz w:val="20"/>
                <w:szCs w:val="20"/>
                <w:highlight w:val="yellow"/>
              </w:rPr>
              <w:t>El impuesto al consumo de que trata la presente Ley no aplica a los productos extranjeros que se importen al territorio del Departamento Archipiélago de San Andrés, Providencia y Santa Catalina, salvo que estos sean posteriormente introducidos al resto del territorio nacional, evento en el cual se causará el impuesto, por lo cual, el responsable previo a su envío, deberá presentar la declaración y pagar el impuesto ante el Fondo Cuenta de Impuestos al Consumo de Productos Extranjeros, aplicando la tarifa y base general señalada</w:t>
            </w:r>
            <w:r w:rsidRPr="00FB31CB">
              <w:rPr>
                <w:rFonts w:ascii="Cambria" w:hAnsi="Cambria"/>
                <w:sz w:val="20"/>
                <w:szCs w:val="20"/>
              </w:rPr>
              <w:t xml:space="preserve"> </w:t>
            </w:r>
            <w:r w:rsidRPr="00FB31CB">
              <w:rPr>
                <w:rFonts w:ascii="Cambria" w:hAnsi="Cambria"/>
                <w:sz w:val="20"/>
                <w:szCs w:val="20"/>
                <w:highlight w:val="yellow"/>
              </w:rPr>
              <w:t xml:space="preserve">para el resto del país. </w:t>
            </w:r>
          </w:p>
          <w:p w:rsidR="00FB31CB" w:rsidRPr="00FB31CB" w:rsidRDefault="00FB31CB" w:rsidP="00FB31CB">
            <w:pPr>
              <w:jc w:val="both"/>
              <w:rPr>
                <w:rFonts w:ascii="Cambria" w:hAnsi="Cambria"/>
                <w:sz w:val="20"/>
                <w:szCs w:val="20"/>
                <w:highlight w:val="yellow"/>
              </w:rPr>
            </w:pPr>
            <w:r w:rsidRPr="00FB31CB">
              <w:rPr>
                <w:rFonts w:ascii="Cambria" w:hAnsi="Cambria"/>
                <w:sz w:val="20"/>
                <w:szCs w:val="20"/>
                <w:highlight w:val="yellow"/>
              </w:rPr>
              <w:t xml:space="preserve">Los productos que se despachen al departamento deberán llevar grabado en un lugar visible del envase y la etiqueta y en caracteres legibles e indelebles, la siguiente leyenda: “Para consumo exclusivo en el departamento Archipiélago de San Andrés, Providencia y Santa Catalina”, y no podrán ser objeto de reenvío al resto del país. </w:t>
            </w:r>
          </w:p>
          <w:p w:rsidR="00FB31CB" w:rsidRPr="00FB31CB" w:rsidRDefault="00FB31CB" w:rsidP="00FB31CB">
            <w:pPr>
              <w:jc w:val="both"/>
              <w:rPr>
                <w:rFonts w:ascii="Cambria" w:hAnsi="Cambria"/>
                <w:sz w:val="20"/>
                <w:szCs w:val="20"/>
              </w:rPr>
            </w:pPr>
            <w:r w:rsidRPr="00FB31CB">
              <w:rPr>
                <w:rFonts w:ascii="Cambria" w:hAnsi="Cambria"/>
                <w:sz w:val="20"/>
                <w:szCs w:val="20"/>
                <w:highlight w:val="yellow"/>
              </w:rPr>
              <w:t>Los productores nacionales y los distribuidores seguirán respondiendo ante el departamento de origen por los productos que envíen al Archipiélago, hasta tanto se demuestre con la tornaguía respectiva, guía aérea o documento de embarque, que el producto ingresó al mismo.</w:t>
            </w:r>
            <w:r w:rsidRPr="00FB31CB">
              <w:rPr>
                <w:rFonts w:ascii="Cambria" w:hAnsi="Cambria"/>
                <w:sz w:val="20"/>
                <w:szCs w:val="20"/>
              </w:rPr>
              <w:t xml:space="preserve"> </w:t>
            </w:r>
          </w:p>
          <w:p w:rsidR="00FB31CB" w:rsidRDefault="00FB31CB" w:rsidP="00FB31CB">
            <w:pPr>
              <w:jc w:val="both"/>
              <w:rPr>
                <w:rFonts w:ascii="Cambria" w:hAnsi="Cambria"/>
                <w:b/>
                <w:bCs/>
                <w:sz w:val="20"/>
                <w:szCs w:val="20"/>
              </w:rPr>
            </w:pPr>
          </w:p>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rPr>
              <w:t xml:space="preserve">Parágrafo </w:t>
            </w:r>
            <w:r w:rsidRPr="00FB31CB">
              <w:rPr>
                <w:rFonts w:ascii="Cambria" w:hAnsi="Cambria"/>
                <w:b/>
                <w:bCs/>
                <w:sz w:val="20"/>
                <w:szCs w:val="20"/>
                <w:highlight w:val="yellow"/>
              </w:rPr>
              <w:t xml:space="preserve">2. </w:t>
            </w:r>
            <w:r w:rsidRPr="00FB31CB">
              <w:rPr>
                <w:rFonts w:ascii="Cambria" w:hAnsi="Cambria"/>
                <w:sz w:val="20"/>
                <w:szCs w:val="20"/>
                <w:highlight w:val="yellow"/>
              </w:rPr>
              <w:t xml:space="preserve">Todas las cervezas, con o sin alcohol, sifones, refajos y mezclas de bebidas fermentadas con bebidas no alcohólicas, que se despachen en los Depósitos Francos autorizados por la Dirección de Impuestos y Aduanas Nacionales (DIAN), y los destinados a la exportación y zonas libres y especiales deberán llevar grabado en un lugar visible del envase y la etiqueta y en caracteres legibles e indelebles la siguiente leyenda: “Para exportación”. </w:t>
            </w:r>
          </w:p>
          <w:p w:rsidR="00FB31CB" w:rsidRPr="00FB31CB" w:rsidRDefault="00FB31CB" w:rsidP="00FB31CB">
            <w:pPr>
              <w:jc w:val="both"/>
              <w:rPr>
                <w:rFonts w:ascii="Cambria" w:hAnsi="Cambria"/>
                <w:b/>
                <w:bCs/>
                <w:sz w:val="20"/>
                <w:szCs w:val="20"/>
                <w:highlight w:val="yellow"/>
              </w:rPr>
            </w:pPr>
          </w:p>
          <w:p w:rsidR="00FB31CB" w:rsidRPr="00FB31CB" w:rsidRDefault="00FB31CB" w:rsidP="00FB31CB">
            <w:pPr>
              <w:jc w:val="both"/>
              <w:rPr>
                <w:rFonts w:ascii="Cambria" w:hAnsi="Cambria"/>
                <w:sz w:val="20"/>
                <w:szCs w:val="20"/>
                <w:highlight w:val="yellow"/>
              </w:rPr>
            </w:pPr>
            <w:r w:rsidRPr="00FB31CB">
              <w:rPr>
                <w:rFonts w:ascii="Cambria" w:hAnsi="Cambria"/>
                <w:b/>
                <w:bCs/>
                <w:sz w:val="20"/>
                <w:szCs w:val="20"/>
                <w:highlight w:val="yellow"/>
              </w:rPr>
              <w:lastRenderedPageBreak/>
              <w:t xml:space="preserve">Parágrafo 3. </w:t>
            </w:r>
            <w:r w:rsidRPr="00FB31CB">
              <w:rPr>
                <w:rFonts w:ascii="Cambria" w:hAnsi="Cambria"/>
                <w:sz w:val="20"/>
                <w:szCs w:val="20"/>
                <w:highlight w:val="yellow"/>
              </w:rPr>
              <w:t xml:space="preserve">Cuando los productos objeto de impuesto al consumo tengan volúmenes diferentes a 330 centímetros cúbicos, se liquidará el impuesto proporcionalmente y se aproximará al peso más cercano. </w:t>
            </w:r>
          </w:p>
          <w:p w:rsidR="00FB31CB" w:rsidRPr="00FB31CB" w:rsidRDefault="00FB31CB" w:rsidP="00FB31CB">
            <w:pPr>
              <w:jc w:val="both"/>
              <w:rPr>
                <w:rFonts w:ascii="Cambria" w:hAnsi="Cambria"/>
                <w:b/>
                <w:bCs/>
                <w:sz w:val="20"/>
                <w:szCs w:val="20"/>
                <w:highlight w:val="yellow"/>
              </w:rPr>
            </w:pPr>
          </w:p>
          <w:p w:rsidR="00FB31CB" w:rsidRPr="00FB31CB" w:rsidRDefault="00FB31CB" w:rsidP="00FB31CB">
            <w:pPr>
              <w:jc w:val="both"/>
              <w:rPr>
                <w:rFonts w:ascii="Cambria" w:hAnsi="Cambria" w:cs="Aptos"/>
                <w:sz w:val="20"/>
                <w:szCs w:val="20"/>
                <w:highlight w:val="yellow"/>
              </w:rPr>
            </w:pPr>
            <w:r w:rsidRPr="00FB31CB">
              <w:rPr>
                <w:rFonts w:ascii="Cambria" w:hAnsi="Cambria"/>
                <w:b/>
                <w:bCs/>
                <w:sz w:val="20"/>
                <w:szCs w:val="20"/>
                <w:highlight w:val="yellow"/>
              </w:rPr>
              <w:t xml:space="preserve">Parágrafo 4. </w:t>
            </w:r>
            <w:r w:rsidRPr="00FB31CB">
              <w:rPr>
                <w:rFonts w:ascii="Cambria" w:hAnsi="Cambria"/>
                <w:sz w:val="20"/>
                <w:szCs w:val="20"/>
                <w:highlight w:val="yellow"/>
              </w:rPr>
              <w:t xml:space="preserve">Las tarifas del componente específico se incrementarán a partir del primero (1º) de enero de cada año, con la variación anual del índice de precios al consumidor certificado por el DANE al 30 de noviembre más cuatro (4) puntos y el resultado se aproximará al peso más cercano. La Dirección de Apoyo Fiscal del Ministerio de Hacienda y Crédito Público certificará y publicará antes del 1º de enero de cada año, las tarifas así indexadas. </w:t>
            </w:r>
          </w:p>
          <w:p w:rsidR="00FB31CB" w:rsidRPr="00FB31CB" w:rsidRDefault="00FB31CB" w:rsidP="00FB31CB">
            <w:pPr>
              <w:jc w:val="both"/>
              <w:rPr>
                <w:rFonts w:ascii="Cambria" w:hAnsi="Cambria" w:cstheme="minorBidi"/>
                <w:sz w:val="20"/>
                <w:szCs w:val="20"/>
                <w:highlight w:val="yellow"/>
              </w:rPr>
            </w:pPr>
          </w:p>
          <w:p w:rsidR="007427A0" w:rsidRDefault="00FB31CB" w:rsidP="00FB31CB">
            <w:pPr>
              <w:jc w:val="both"/>
              <w:rPr>
                <w:rFonts w:ascii="Cambria" w:hAnsi="Cambria"/>
                <w:sz w:val="20"/>
                <w:szCs w:val="20"/>
              </w:rPr>
            </w:pPr>
            <w:r w:rsidRPr="00FB31CB">
              <w:rPr>
                <w:rFonts w:ascii="Cambria" w:hAnsi="Cambria" w:cstheme="minorBidi"/>
                <w:b/>
                <w:bCs/>
                <w:sz w:val="20"/>
                <w:szCs w:val="20"/>
                <w:highlight w:val="yellow"/>
              </w:rPr>
              <w:t xml:space="preserve">Parágrafo 5. </w:t>
            </w:r>
            <w:r w:rsidRPr="00FB31CB">
              <w:rPr>
                <w:rFonts w:ascii="Cambria" w:hAnsi="Cambria"/>
                <w:sz w:val="20"/>
                <w:szCs w:val="20"/>
                <w:highlight w:val="yellow"/>
              </w:rPr>
              <w:t>Se mantendrán las destinaciones establecidas previas a la vigencia del presente parágrafo, y los ingresos adicionales recaudados por efecto del aumento de este impuesto serán destinados a financiar el aseguramiento en salud.</w:t>
            </w:r>
          </w:p>
          <w:p w:rsidR="00FB31CB" w:rsidRPr="00FB31CB" w:rsidRDefault="00FB31CB" w:rsidP="00FB31CB">
            <w:pPr>
              <w:jc w:val="both"/>
              <w:rPr>
                <w:rFonts w:ascii="Cambria" w:hAnsi="Cambria"/>
                <w:sz w:val="20"/>
                <w:szCs w:val="20"/>
                <w:lang w:val="es-ES"/>
              </w:rPr>
            </w:pPr>
          </w:p>
        </w:tc>
      </w:tr>
      <w:tr w:rsidR="00EE3358" w:rsidTr="0092734A">
        <w:tc>
          <w:tcPr>
            <w:tcW w:w="4414" w:type="dxa"/>
          </w:tcPr>
          <w:p w:rsidR="00EE3358" w:rsidRPr="00EE3358" w:rsidRDefault="00EE3358" w:rsidP="00EE3358">
            <w:pPr>
              <w:jc w:val="both"/>
              <w:rPr>
                <w:rFonts w:ascii="Cambria" w:hAnsi="Cambria"/>
                <w:b/>
                <w:bCs/>
                <w:color w:val="000000" w:themeColor="text1"/>
                <w:sz w:val="20"/>
                <w:szCs w:val="20"/>
              </w:rPr>
            </w:pPr>
            <w:bookmarkStart w:id="54" w:name="202"/>
            <w:r w:rsidRPr="00EE3358">
              <w:rPr>
                <w:rFonts w:ascii="Cambria" w:hAnsi="Cambria"/>
                <w:b/>
                <w:bCs/>
                <w:color w:val="000000" w:themeColor="text1"/>
                <w:sz w:val="20"/>
                <w:szCs w:val="20"/>
              </w:rPr>
              <w:lastRenderedPageBreak/>
              <w:t>Artículo 202. Hecho generador</w:t>
            </w:r>
            <w:r w:rsidRPr="00EE3358">
              <w:rPr>
                <w:rFonts w:ascii="Cambria" w:hAnsi="Cambria"/>
                <w:b/>
                <w:bCs/>
                <w:color w:val="BE9E55"/>
                <w:sz w:val="20"/>
                <w:szCs w:val="20"/>
              </w:rPr>
              <w:t>.</w:t>
            </w:r>
            <w:bookmarkEnd w:id="54"/>
            <w:r w:rsidRPr="00EE3358">
              <w:rPr>
                <w:rFonts w:ascii="Cambria" w:hAnsi="Cambria"/>
                <w:sz w:val="20"/>
                <w:szCs w:val="20"/>
              </w:rPr>
              <w:t> Está constituido por el consumo de licores, vinos, aperitivos, y similares, en la jurisdicción de los departamentos.</w:t>
            </w:r>
          </w:p>
        </w:tc>
        <w:tc>
          <w:tcPr>
            <w:tcW w:w="4414" w:type="dxa"/>
          </w:tcPr>
          <w:p w:rsidR="00EE3358" w:rsidRDefault="00EE3358" w:rsidP="00EE3358">
            <w:pPr>
              <w:jc w:val="both"/>
              <w:rPr>
                <w:rFonts w:ascii="Cambria" w:hAnsi="Cambria"/>
                <w:sz w:val="20"/>
                <w:szCs w:val="20"/>
              </w:rPr>
            </w:pPr>
            <w:r w:rsidRPr="00EE3358">
              <w:rPr>
                <w:rFonts w:ascii="Cambria" w:hAnsi="Cambria"/>
                <w:b/>
                <w:bCs/>
                <w:color w:val="000000" w:themeColor="text1"/>
                <w:sz w:val="20"/>
                <w:szCs w:val="20"/>
              </w:rPr>
              <w:t>Artículo 202. Hecho generador</w:t>
            </w:r>
            <w:r>
              <w:rPr>
                <w:rFonts w:ascii="Cambria" w:hAnsi="Cambria"/>
                <w:b/>
                <w:bCs/>
                <w:color w:val="000000" w:themeColor="text1"/>
                <w:sz w:val="20"/>
                <w:szCs w:val="20"/>
              </w:rPr>
              <w:t xml:space="preserve"> </w:t>
            </w:r>
            <w:r w:rsidRPr="00EE3358">
              <w:rPr>
                <w:rFonts w:ascii="Cambria" w:hAnsi="Cambria"/>
                <w:b/>
                <w:bCs/>
                <w:color w:val="FF0000"/>
                <w:sz w:val="20"/>
                <w:szCs w:val="20"/>
              </w:rPr>
              <w:t xml:space="preserve">(modificado </w:t>
            </w:r>
            <w:r w:rsidRPr="00FB31CB">
              <w:rPr>
                <w:rFonts w:ascii="Cambria" w:hAnsi="Cambria"/>
                <w:b/>
                <w:bCs/>
                <w:color w:val="FF0000"/>
                <w:sz w:val="20"/>
                <w:szCs w:val="20"/>
              </w:rPr>
              <w:t>con artículos 3</w:t>
            </w:r>
            <w:r>
              <w:rPr>
                <w:rFonts w:ascii="Cambria" w:hAnsi="Cambria"/>
                <w:b/>
                <w:bCs/>
                <w:color w:val="FF0000"/>
                <w:sz w:val="20"/>
                <w:szCs w:val="20"/>
              </w:rPr>
              <w:t>7</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FB31CB">
              <w:rPr>
                <w:rFonts w:ascii="Cambria" w:hAnsi="Cambria"/>
                <w:b/>
                <w:bCs/>
                <w:color w:val="FF0000"/>
                <w:sz w:val="20"/>
                <w:szCs w:val="20"/>
              </w:rPr>
              <w:t>)</w:t>
            </w:r>
            <w:r w:rsidRPr="00EE3358">
              <w:rPr>
                <w:rFonts w:ascii="Cambria" w:hAnsi="Cambria"/>
                <w:b/>
                <w:bCs/>
                <w:color w:val="BE9E55"/>
                <w:sz w:val="20"/>
                <w:szCs w:val="20"/>
              </w:rPr>
              <w:t>.</w:t>
            </w:r>
            <w:r w:rsidRPr="00EE3358">
              <w:rPr>
                <w:rFonts w:ascii="Cambria" w:hAnsi="Cambria"/>
                <w:sz w:val="20"/>
                <w:szCs w:val="20"/>
              </w:rPr>
              <w:t xml:space="preserve"> Está constituido por el consumo de licores, vinos, aperitivos, y similares, </w:t>
            </w:r>
            <w:r w:rsidRPr="00EE3358">
              <w:rPr>
                <w:rFonts w:ascii="Cambria" w:hAnsi="Cambria"/>
                <w:sz w:val="20"/>
                <w:szCs w:val="20"/>
                <w:highlight w:val="yellow"/>
              </w:rPr>
              <w:t xml:space="preserve">con una concentración superior a 1 grado </w:t>
            </w:r>
            <w:proofErr w:type="spellStart"/>
            <w:r w:rsidRPr="00EE3358">
              <w:rPr>
                <w:rFonts w:ascii="Cambria" w:hAnsi="Cambria"/>
                <w:sz w:val="20"/>
                <w:szCs w:val="20"/>
                <w:highlight w:val="yellow"/>
              </w:rPr>
              <w:t>alcoholimétrico</w:t>
            </w:r>
            <w:proofErr w:type="spellEnd"/>
            <w:r>
              <w:rPr>
                <w:rFonts w:ascii="Cambria" w:hAnsi="Cambria"/>
                <w:sz w:val="20"/>
                <w:szCs w:val="20"/>
              </w:rPr>
              <w:t>,</w:t>
            </w:r>
            <w:r>
              <w:t xml:space="preserve"> </w:t>
            </w:r>
            <w:r w:rsidRPr="00EE3358">
              <w:rPr>
                <w:rFonts w:ascii="Cambria" w:hAnsi="Cambria"/>
                <w:sz w:val="20"/>
                <w:szCs w:val="20"/>
              </w:rPr>
              <w:t>en la jurisdicción de los departamentos.</w:t>
            </w:r>
          </w:p>
          <w:p w:rsidR="00EE3358" w:rsidRPr="00EE3358" w:rsidRDefault="00EE3358" w:rsidP="00EE3358">
            <w:pPr>
              <w:jc w:val="both"/>
              <w:rPr>
                <w:rFonts w:ascii="Cambria" w:hAnsi="Cambria"/>
                <w:b/>
                <w:bCs/>
                <w:color w:val="000000" w:themeColor="text1"/>
                <w:sz w:val="20"/>
                <w:szCs w:val="20"/>
              </w:rPr>
            </w:pPr>
          </w:p>
        </w:tc>
      </w:tr>
      <w:tr w:rsidR="00EE3358" w:rsidTr="0092734A">
        <w:tc>
          <w:tcPr>
            <w:tcW w:w="4414" w:type="dxa"/>
          </w:tcPr>
          <w:p w:rsidR="00EE3358" w:rsidRDefault="00EE3358" w:rsidP="00EE3358">
            <w:pPr>
              <w:jc w:val="both"/>
              <w:rPr>
                <w:rFonts w:ascii="Cambria" w:hAnsi="Cambria"/>
                <w:sz w:val="20"/>
                <w:szCs w:val="20"/>
              </w:rPr>
            </w:pPr>
            <w:bookmarkStart w:id="55" w:name="207"/>
            <w:r w:rsidRPr="00EE3358">
              <w:rPr>
                <w:rFonts w:ascii="Cambria" w:hAnsi="Cambria"/>
                <w:b/>
                <w:bCs/>
                <w:color w:val="000000" w:themeColor="text1"/>
                <w:sz w:val="20"/>
                <w:szCs w:val="20"/>
              </w:rPr>
              <w:t>Artículo 207. Hecho generador</w:t>
            </w:r>
            <w:r w:rsidRPr="00EE3358">
              <w:rPr>
                <w:rFonts w:ascii="Cambria" w:hAnsi="Cambria"/>
                <w:b/>
                <w:bCs/>
                <w:color w:val="BE9E55"/>
                <w:sz w:val="20"/>
                <w:szCs w:val="20"/>
              </w:rPr>
              <w:t>.</w:t>
            </w:r>
            <w:bookmarkEnd w:id="55"/>
            <w:r w:rsidRPr="00EE3358">
              <w:rPr>
                <w:rFonts w:ascii="Cambria" w:hAnsi="Cambria"/>
                <w:sz w:val="20"/>
                <w:szCs w:val="20"/>
              </w:rPr>
              <w:t> Está constituido por el consumo de cigarrillos </w:t>
            </w:r>
            <w:r w:rsidRPr="00EE3358">
              <w:rPr>
                <w:rFonts w:ascii="Cambria" w:hAnsi="Cambria"/>
                <w:sz w:val="20"/>
                <w:szCs w:val="20"/>
                <w:u w:val="single"/>
              </w:rPr>
              <w:t xml:space="preserve">y tabaco </w:t>
            </w:r>
            <w:r w:rsidRPr="00EE3358">
              <w:rPr>
                <w:rFonts w:ascii="Cambria" w:hAnsi="Cambria"/>
                <w:sz w:val="20"/>
                <w:szCs w:val="20"/>
              </w:rPr>
              <w:t>elaborado, en la jurisdicción de los departamentos.</w:t>
            </w:r>
          </w:p>
          <w:p w:rsidR="00EE3358" w:rsidRPr="00EE3358" w:rsidRDefault="00EE3358" w:rsidP="00EE3358">
            <w:pPr>
              <w:jc w:val="both"/>
              <w:rPr>
                <w:rFonts w:ascii="Cambria" w:hAnsi="Cambria"/>
                <w:b/>
                <w:bCs/>
                <w:color w:val="000000" w:themeColor="text1"/>
                <w:sz w:val="20"/>
                <w:szCs w:val="20"/>
              </w:rPr>
            </w:pPr>
          </w:p>
        </w:tc>
        <w:tc>
          <w:tcPr>
            <w:tcW w:w="4414" w:type="dxa"/>
          </w:tcPr>
          <w:p w:rsidR="00EE3358" w:rsidRPr="00EE3358" w:rsidRDefault="00EE3358" w:rsidP="00EE3358">
            <w:pPr>
              <w:jc w:val="both"/>
              <w:rPr>
                <w:rFonts w:ascii="Cambria" w:hAnsi="Cambria"/>
                <w:sz w:val="20"/>
                <w:szCs w:val="20"/>
              </w:rPr>
            </w:pPr>
            <w:r w:rsidRPr="00EE3358">
              <w:rPr>
                <w:rFonts w:ascii="Cambria" w:hAnsi="Cambria"/>
                <w:b/>
                <w:bCs/>
                <w:sz w:val="20"/>
                <w:szCs w:val="20"/>
              </w:rPr>
              <w:t>Artículo 207. Hecho Generador</w:t>
            </w:r>
            <w:r>
              <w:rPr>
                <w:rFonts w:ascii="Cambria" w:hAnsi="Cambria"/>
                <w:b/>
                <w:bCs/>
                <w:sz w:val="20"/>
                <w:szCs w:val="20"/>
              </w:rPr>
              <w:t xml:space="preserve"> </w:t>
            </w:r>
            <w:r w:rsidRPr="00EE3358">
              <w:rPr>
                <w:rFonts w:ascii="Cambria" w:hAnsi="Cambria"/>
                <w:b/>
                <w:bCs/>
                <w:color w:val="FF0000"/>
                <w:sz w:val="20"/>
                <w:szCs w:val="20"/>
              </w:rPr>
              <w:t xml:space="preserve">(modificado </w:t>
            </w:r>
            <w:r w:rsidRPr="00FB31CB">
              <w:rPr>
                <w:rFonts w:ascii="Cambria" w:hAnsi="Cambria"/>
                <w:b/>
                <w:bCs/>
                <w:color w:val="FF0000"/>
                <w:sz w:val="20"/>
                <w:szCs w:val="20"/>
              </w:rPr>
              <w:t>con artículos 3</w:t>
            </w:r>
            <w:r>
              <w:rPr>
                <w:rFonts w:ascii="Cambria" w:hAnsi="Cambria"/>
                <w:b/>
                <w:bCs/>
                <w:color w:val="FF0000"/>
                <w:sz w:val="20"/>
                <w:szCs w:val="20"/>
              </w:rPr>
              <w:t>9</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FB31CB">
              <w:rPr>
                <w:rFonts w:ascii="Cambria" w:hAnsi="Cambria"/>
                <w:b/>
                <w:bCs/>
                <w:color w:val="FF0000"/>
                <w:sz w:val="20"/>
                <w:szCs w:val="20"/>
              </w:rPr>
              <w:t>)</w:t>
            </w:r>
            <w:r w:rsidRPr="00EE3358">
              <w:rPr>
                <w:rFonts w:ascii="Cambria" w:hAnsi="Cambria"/>
                <w:sz w:val="20"/>
                <w:szCs w:val="20"/>
              </w:rPr>
              <w:t xml:space="preserve">. Está constituido por el consumo de cigarrillos, tabaco elaborado, </w:t>
            </w:r>
            <w:r w:rsidRPr="00EE3358">
              <w:rPr>
                <w:rFonts w:ascii="Cambria" w:hAnsi="Cambria"/>
                <w:sz w:val="20"/>
                <w:szCs w:val="20"/>
                <w:highlight w:val="yellow"/>
              </w:rPr>
              <w:t>derivados, sucedáneos o imitadores</w:t>
            </w:r>
            <w:r w:rsidRPr="00EE3358">
              <w:rPr>
                <w:rFonts w:ascii="Cambria" w:hAnsi="Cambria"/>
                <w:sz w:val="20"/>
                <w:szCs w:val="20"/>
              </w:rPr>
              <w:t xml:space="preserve">, en la jurisdicción de los departamentos. </w:t>
            </w:r>
          </w:p>
          <w:p w:rsidR="00EE3358" w:rsidRDefault="00EE3358" w:rsidP="00EE3358">
            <w:pPr>
              <w:jc w:val="both"/>
              <w:rPr>
                <w:rFonts w:ascii="Cambria" w:hAnsi="Cambria"/>
                <w:sz w:val="20"/>
                <w:szCs w:val="20"/>
              </w:rPr>
            </w:pPr>
          </w:p>
          <w:p w:rsidR="00EE3358" w:rsidRPr="00EE3358" w:rsidRDefault="00EE3358" w:rsidP="00EE3358">
            <w:pPr>
              <w:jc w:val="both"/>
              <w:rPr>
                <w:rFonts w:ascii="Cambria" w:hAnsi="Cambria"/>
                <w:sz w:val="20"/>
                <w:szCs w:val="20"/>
                <w:highlight w:val="yellow"/>
              </w:rPr>
            </w:pPr>
            <w:r w:rsidRPr="00EE3358">
              <w:rPr>
                <w:rFonts w:ascii="Cambria" w:hAnsi="Cambria"/>
                <w:sz w:val="20"/>
                <w:szCs w:val="20"/>
                <w:highlight w:val="yellow"/>
              </w:rPr>
              <w:t xml:space="preserve">Exclúyase del impuesto al consumo de tabaco, al chicote de producción artesanal. </w:t>
            </w:r>
          </w:p>
          <w:p w:rsidR="00EE3358" w:rsidRPr="00EE3358" w:rsidRDefault="00EE3358" w:rsidP="00EE3358">
            <w:pPr>
              <w:jc w:val="both"/>
              <w:rPr>
                <w:rFonts w:ascii="Cambria" w:hAnsi="Cambria"/>
                <w:b/>
                <w:bCs/>
                <w:sz w:val="20"/>
                <w:szCs w:val="20"/>
                <w:highlight w:val="yellow"/>
              </w:rPr>
            </w:pPr>
          </w:p>
          <w:p w:rsidR="00EE3358" w:rsidRPr="00EE3358" w:rsidRDefault="00EE3358" w:rsidP="00EE3358">
            <w:pPr>
              <w:jc w:val="both"/>
              <w:rPr>
                <w:rFonts w:ascii="Cambria" w:hAnsi="Cambria"/>
                <w:sz w:val="20"/>
                <w:szCs w:val="20"/>
                <w:highlight w:val="yellow"/>
              </w:rPr>
            </w:pPr>
            <w:r w:rsidRPr="00EE3358">
              <w:rPr>
                <w:rFonts w:ascii="Cambria" w:hAnsi="Cambria"/>
                <w:b/>
                <w:bCs/>
                <w:sz w:val="20"/>
                <w:szCs w:val="20"/>
                <w:highlight w:val="yellow"/>
              </w:rPr>
              <w:t xml:space="preserve">Parágrafo. </w:t>
            </w:r>
            <w:r w:rsidRPr="00EE3358">
              <w:rPr>
                <w:rFonts w:ascii="Cambria" w:hAnsi="Cambria"/>
                <w:sz w:val="20"/>
                <w:szCs w:val="20"/>
                <w:highlight w:val="yellow"/>
              </w:rPr>
              <w:t xml:space="preserve">Para efectos del impuesto al consumo de que trata el presente Capítulo, se entiende por tabaco elaborado aquel producto terminado apto para consumo humano que se obtiene a partir del procesamiento de la hoja de tabaco o de materias primas derivadas de la misma, incluyendo los Productos de Tabaco Calentado (PTC). Para los mismos efectos, se excluye de la definición de tabaco elaborado a aquellos productos obtenidos a partir del procesamiento de la hoja de tabaco, utilizados como materia prima para la fabricación o manufactura de productos gravados con el impuesto al consumo de cigarrillos y tabaco elaborado. </w:t>
            </w:r>
          </w:p>
          <w:p w:rsidR="00EE3358" w:rsidRPr="00EE3358" w:rsidRDefault="00EE3358" w:rsidP="00EE3358">
            <w:pPr>
              <w:jc w:val="both"/>
              <w:rPr>
                <w:rFonts w:ascii="Cambria" w:hAnsi="Cambria"/>
                <w:sz w:val="20"/>
                <w:szCs w:val="20"/>
                <w:highlight w:val="yellow"/>
              </w:rPr>
            </w:pPr>
          </w:p>
          <w:p w:rsidR="00EE3358" w:rsidRDefault="00EE3358" w:rsidP="00EE3358">
            <w:pPr>
              <w:jc w:val="both"/>
              <w:rPr>
                <w:rFonts w:ascii="Cambria" w:hAnsi="Cambria"/>
                <w:sz w:val="20"/>
                <w:szCs w:val="20"/>
              </w:rPr>
            </w:pPr>
            <w:r w:rsidRPr="00EE3358">
              <w:rPr>
                <w:rFonts w:ascii="Cambria" w:hAnsi="Cambria"/>
                <w:sz w:val="20"/>
                <w:szCs w:val="20"/>
                <w:highlight w:val="yellow"/>
              </w:rPr>
              <w:t xml:space="preserve">Por derivados, sucedáneos o imitadores, se entienden los aerosoles y otros dispositivos que contienen nicotina y/o productos químicos; Sistemas Electrónicos de Administración de Nicotina (SEAN); Sistemas Similares Sin Nicotina (SSSN); dispositivos electrónicos y los productos con nicotina (SEAN) o sin nicotina (SSSN) que generan un aerosol disuelto en sustancias líquidas, mediante el calentamiento de una solución, y los </w:t>
            </w:r>
            <w:proofErr w:type="spellStart"/>
            <w:r w:rsidRPr="00EE3358">
              <w:rPr>
                <w:rFonts w:ascii="Cambria" w:hAnsi="Cambria"/>
                <w:sz w:val="20"/>
                <w:szCs w:val="20"/>
                <w:highlight w:val="yellow"/>
              </w:rPr>
              <w:t>vapeadores</w:t>
            </w:r>
            <w:proofErr w:type="spellEnd"/>
            <w:r w:rsidRPr="00EE3358">
              <w:rPr>
                <w:rFonts w:ascii="Cambria" w:hAnsi="Cambria"/>
                <w:sz w:val="20"/>
                <w:szCs w:val="20"/>
                <w:highlight w:val="yellow"/>
              </w:rPr>
              <w:t>.</w:t>
            </w:r>
            <w:r w:rsidRPr="00EE3358">
              <w:rPr>
                <w:rFonts w:ascii="Cambria" w:hAnsi="Cambria"/>
                <w:sz w:val="20"/>
                <w:szCs w:val="20"/>
              </w:rPr>
              <w:t xml:space="preserve"> </w:t>
            </w:r>
          </w:p>
          <w:p w:rsidR="00EE3358" w:rsidRPr="00EE3358" w:rsidRDefault="00EE3358" w:rsidP="00EE3358">
            <w:pPr>
              <w:jc w:val="both"/>
              <w:rPr>
                <w:rFonts w:ascii="Cambria" w:hAnsi="Cambria"/>
                <w:b/>
                <w:bCs/>
                <w:sz w:val="20"/>
                <w:szCs w:val="20"/>
              </w:rPr>
            </w:pPr>
          </w:p>
        </w:tc>
      </w:tr>
      <w:tr w:rsidR="00EE3358" w:rsidTr="0092734A">
        <w:tc>
          <w:tcPr>
            <w:tcW w:w="4414" w:type="dxa"/>
          </w:tcPr>
          <w:p w:rsidR="00EE3358" w:rsidRDefault="00EE3358" w:rsidP="00EE3358">
            <w:pPr>
              <w:jc w:val="both"/>
              <w:rPr>
                <w:rFonts w:ascii="Cambria" w:hAnsi="Cambria"/>
                <w:sz w:val="20"/>
                <w:szCs w:val="20"/>
              </w:rPr>
            </w:pPr>
            <w:bookmarkStart w:id="56" w:name="208"/>
            <w:r w:rsidRPr="00EE3358">
              <w:rPr>
                <w:rFonts w:ascii="Cambria" w:hAnsi="Cambria"/>
                <w:b/>
                <w:bCs/>
                <w:color w:val="000000" w:themeColor="text1"/>
                <w:sz w:val="20"/>
                <w:szCs w:val="20"/>
              </w:rPr>
              <w:lastRenderedPageBreak/>
              <w:t>Artículo 208. Sujetos pasivos</w:t>
            </w:r>
            <w:r w:rsidRPr="00EE3358">
              <w:rPr>
                <w:rFonts w:ascii="Cambria" w:hAnsi="Cambria"/>
                <w:b/>
                <w:bCs/>
                <w:color w:val="BE9E55"/>
                <w:sz w:val="20"/>
                <w:szCs w:val="20"/>
              </w:rPr>
              <w:t>.</w:t>
            </w:r>
            <w:bookmarkEnd w:id="56"/>
            <w:r w:rsidRPr="00EE3358">
              <w:rPr>
                <w:rFonts w:ascii="Cambria" w:hAnsi="Cambria"/>
                <w:sz w:val="20"/>
                <w:szCs w:val="20"/>
              </w:rPr>
              <w:t> Son sujetos pasivos o responsables del impuesto los productores, los importadores y, solidariamente con ellos, los distribuidores. Además, son responsables directos los transportadores y expendedores al detal, cuando no puedan justificar debidamente la procedencia de los productos que transportan o expenden.</w:t>
            </w:r>
          </w:p>
          <w:p w:rsidR="00EE3358" w:rsidRPr="00EE3358" w:rsidRDefault="00EE3358" w:rsidP="00EE3358">
            <w:pPr>
              <w:jc w:val="both"/>
              <w:rPr>
                <w:rFonts w:ascii="Cambria" w:hAnsi="Cambria"/>
                <w:b/>
                <w:bCs/>
                <w:color w:val="000000" w:themeColor="text1"/>
                <w:sz w:val="20"/>
                <w:szCs w:val="20"/>
              </w:rPr>
            </w:pPr>
          </w:p>
        </w:tc>
        <w:tc>
          <w:tcPr>
            <w:tcW w:w="4414" w:type="dxa"/>
          </w:tcPr>
          <w:p w:rsidR="00EE3358" w:rsidRPr="00EE3358" w:rsidRDefault="00EE3358" w:rsidP="00EE3358">
            <w:pPr>
              <w:jc w:val="both"/>
              <w:rPr>
                <w:rFonts w:ascii="Cambria" w:hAnsi="Cambria"/>
                <w:sz w:val="20"/>
                <w:szCs w:val="20"/>
              </w:rPr>
            </w:pPr>
            <w:r w:rsidRPr="00EE3358">
              <w:rPr>
                <w:rFonts w:ascii="Cambria" w:hAnsi="Cambria"/>
                <w:b/>
                <w:bCs/>
                <w:color w:val="000000" w:themeColor="text1"/>
                <w:sz w:val="20"/>
                <w:szCs w:val="20"/>
              </w:rPr>
              <w:t>Artículo 208. Sujetos pasivos</w:t>
            </w:r>
            <w:r>
              <w:rPr>
                <w:rFonts w:ascii="Cambria" w:hAnsi="Cambria"/>
                <w:b/>
                <w:bCs/>
                <w:color w:val="000000" w:themeColor="text1"/>
                <w:sz w:val="20"/>
                <w:szCs w:val="20"/>
              </w:rPr>
              <w:t xml:space="preserve"> </w:t>
            </w:r>
            <w:r>
              <w:rPr>
                <w:rFonts w:ascii="Cambria" w:hAnsi="Cambria"/>
                <w:b/>
                <w:bCs/>
                <w:color w:val="FF0000"/>
                <w:sz w:val="20"/>
                <w:szCs w:val="20"/>
              </w:rPr>
              <w:t>(m</w:t>
            </w:r>
            <w:r w:rsidRPr="00EE3358">
              <w:rPr>
                <w:rFonts w:ascii="Cambria" w:hAnsi="Cambria"/>
                <w:b/>
                <w:bCs/>
                <w:color w:val="FF0000"/>
                <w:sz w:val="20"/>
                <w:szCs w:val="20"/>
              </w:rPr>
              <w:t xml:space="preserve">odificado </w:t>
            </w:r>
            <w:r w:rsidRPr="00FB31CB">
              <w:rPr>
                <w:rFonts w:ascii="Cambria" w:hAnsi="Cambria"/>
                <w:b/>
                <w:bCs/>
                <w:color w:val="FF0000"/>
                <w:sz w:val="20"/>
                <w:szCs w:val="20"/>
              </w:rPr>
              <w:t xml:space="preserve">con artículos </w:t>
            </w:r>
            <w:r>
              <w:rPr>
                <w:rFonts w:ascii="Cambria" w:hAnsi="Cambria"/>
                <w:b/>
                <w:bCs/>
                <w:color w:val="FF0000"/>
                <w:sz w:val="20"/>
                <w:szCs w:val="20"/>
              </w:rPr>
              <w:t>40</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FB31CB">
              <w:rPr>
                <w:rFonts w:ascii="Cambria" w:hAnsi="Cambria"/>
                <w:b/>
                <w:bCs/>
                <w:color w:val="FF0000"/>
                <w:sz w:val="20"/>
                <w:szCs w:val="20"/>
              </w:rPr>
              <w:t>)</w:t>
            </w:r>
            <w:r w:rsidRPr="00EE3358">
              <w:rPr>
                <w:rFonts w:ascii="Cambria" w:hAnsi="Cambria"/>
                <w:b/>
                <w:bCs/>
                <w:color w:val="BE9E55"/>
              </w:rPr>
              <w:t>.</w:t>
            </w:r>
            <w:r w:rsidRPr="00EE3358">
              <w:rPr>
                <w:rFonts w:ascii="Cambria" w:hAnsi="Cambria"/>
              </w:rPr>
              <w:t> </w:t>
            </w:r>
            <w:r>
              <w:rPr>
                <w:b/>
                <w:bCs/>
              </w:rPr>
              <w:t xml:space="preserve"> </w:t>
            </w:r>
            <w:r w:rsidRPr="00EE3358">
              <w:rPr>
                <w:rFonts w:ascii="Cambria" w:hAnsi="Cambria"/>
                <w:sz w:val="20"/>
                <w:szCs w:val="20"/>
              </w:rPr>
              <w:t xml:space="preserve">Son sujetos pasivos </w:t>
            </w:r>
            <w:r w:rsidRPr="00EE3358">
              <w:rPr>
                <w:rFonts w:ascii="Cambria" w:hAnsi="Cambria"/>
                <w:sz w:val="20"/>
                <w:szCs w:val="20"/>
                <w:highlight w:val="yellow"/>
              </w:rPr>
              <w:t>o responsables del impuesto al consumo de cigarrillos y tabaco elaborado, derivados, sucedáneos o imitadores</w:t>
            </w:r>
            <w:r w:rsidRPr="00EE3358">
              <w:rPr>
                <w:rFonts w:ascii="Cambria" w:hAnsi="Cambria"/>
                <w:sz w:val="20"/>
                <w:szCs w:val="20"/>
              </w:rPr>
              <w:t xml:space="preserve"> los productores, los importadores y solidariamente con ellos los distribuidores. </w:t>
            </w:r>
          </w:p>
          <w:p w:rsidR="00EE3358" w:rsidRPr="00EE3358" w:rsidRDefault="00EE3358" w:rsidP="00EE3358">
            <w:pPr>
              <w:jc w:val="both"/>
              <w:rPr>
                <w:rFonts w:ascii="Cambria" w:hAnsi="Cambria"/>
                <w:sz w:val="20"/>
                <w:szCs w:val="20"/>
              </w:rPr>
            </w:pPr>
            <w:r w:rsidRPr="00EE3358">
              <w:rPr>
                <w:rFonts w:ascii="Cambria" w:hAnsi="Cambria"/>
                <w:sz w:val="20"/>
                <w:szCs w:val="20"/>
              </w:rPr>
              <w:t>Además, son responsables directos los transportadores y expendedores al detal, cuando no puedan justificar debidamente la procedencia de los productos que transportan o expenden</w:t>
            </w:r>
          </w:p>
          <w:p w:rsidR="00EE3358" w:rsidRPr="00EE3358" w:rsidRDefault="00EE3358" w:rsidP="00EE3358">
            <w:pPr>
              <w:jc w:val="both"/>
              <w:rPr>
                <w:rFonts w:ascii="Cambria" w:hAnsi="Cambria"/>
                <w:b/>
                <w:bCs/>
                <w:color w:val="000000" w:themeColor="text1"/>
                <w:sz w:val="20"/>
                <w:szCs w:val="20"/>
              </w:rPr>
            </w:pPr>
          </w:p>
        </w:tc>
      </w:tr>
      <w:tr w:rsidR="00EE3358" w:rsidTr="0092734A">
        <w:tc>
          <w:tcPr>
            <w:tcW w:w="4414" w:type="dxa"/>
          </w:tcPr>
          <w:p w:rsidR="00EE3358" w:rsidRDefault="00EE3358" w:rsidP="00EE3358">
            <w:pPr>
              <w:jc w:val="both"/>
              <w:rPr>
                <w:rFonts w:ascii="Cambria" w:hAnsi="Cambria"/>
                <w:sz w:val="20"/>
                <w:szCs w:val="20"/>
              </w:rPr>
            </w:pPr>
            <w:bookmarkStart w:id="57" w:name="210"/>
            <w:r w:rsidRPr="00EE3358">
              <w:rPr>
                <w:rFonts w:ascii="Cambria" w:hAnsi="Cambria"/>
                <w:b/>
                <w:bCs/>
                <w:color w:val="000000" w:themeColor="text1"/>
                <w:sz w:val="20"/>
                <w:szCs w:val="20"/>
              </w:rPr>
              <w:t>Artículo 210. Base gravable</w:t>
            </w:r>
            <w:bookmarkEnd w:id="57"/>
            <w:r>
              <w:rPr>
                <w:rFonts w:ascii="Cambria" w:hAnsi="Cambria"/>
                <w:b/>
                <w:bCs/>
                <w:color w:val="BE9E55"/>
                <w:sz w:val="20"/>
                <w:szCs w:val="20"/>
              </w:rPr>
              <w:t>.</w:t>
            </w:r>
            <w:r w:rsidRPr="00EE3358">
              <w:rPr>
                <w:rFonts w:ascii="Cambria" w:hAnsi="Cambria"/>
                <w:sz w:val="20"/>
                <w:szCs w:val="20"/>
              </w:rPr>
              <w:t xml:space="preserve"> </w:t>
            </w:r>
            <w:r w:rsidRPr="00BB2D7C">
              <w:rPr>
                <w:rFonts w:ascii="Cambria" w:hAnsi="Cambria"/>
                <w:sz w:val="20"/>
                <w:szCs w:val="20"/>
                <w:highlight w:val="yellow"/>
              </w:rPr>
              <w:t>A partir del 1o enero de 2007 la base gravable del impuesto al consumo de cigarrillos y tabaco elaborado, nacionales y extranjeros está constituida así:</w:t>
            </w:r>
            <w:r w:rsidRPr="00EE3358">
              <w:rPr>
                <w:rFonts w:ascii="Cambria" w:hAnsi="Cambria"/>
                <w:sz w:val="20"/>
                <w:szCs w:val="20"/>
              </w:rPr>
              <w:t xml:space="preserve"> el precio de venta al público certificado semestralmente por el DANE</w:t>
            </w:r>
            <w:r>
              <w:rPr>
                <w:rFonts w:ascii="Cambria" w:hAnsi="Cambria"/>
                <w:sz w:val="20"/>
                <w:szCs w:val="20"/>
              </w:rPr>
              <w:t>.</w:t>
            </w:r>
          </w:p>
          <w:p w:rsidR="00EE3358" w:rsidRPr="00EE3358" w:rsidRDefault="00EE3358" w:rsidP="00EE3358">
            <w:pPr>
              <w:jc w:val="both"/>
              <w:rPr>
                <w:rFonts w:ascii="Cambria" w:hAnsi="Cambria"/>
                <w:b/>
                <w:bCs/>
                <w:color w:val="000000" w:themeColor="text1"/>
                <w:sz w:val="20"/>
                <w:szCs w:val="20"/>
              </w:rPr>
            </w:pPr>
          </w:p>
        </w:tc>
        <w:tc>
          <w:tcPr>
            <w:tcW w:w="4414" w:type="dxa"/>
          </w:tcPr>
          <w:p w:rsidR="00EE3358" w:rsidRPr="00BB2D7C" w:rsidRDefault="00EE3358" w:rsidP="00EE3358">
            <w:pPr>
              <w:jc w:val="both"/>
              <w:rPr>
                <w:rFonts w:ascii="Cambria" w:hAnsi="Cambria"/>
                <w:sz w:val="20"/>
                <w:szCs w:val="20"/>
                <w:highlight w:val="yellow"/>
              </w:rPr>
            </w:pPr>
            <w:r w:rsidRPr="00EE3358">
              <w:rPr>
                <w:rFonts w:ascii="Cambria" w:hAnsi="Cambria"/>
                <w:b/>
                <w:bCs/>
                <w:sz w:val="20"/>
                <w:szCs w:val="20"/>
              </w:rPr>
              <w:t>Artículo 210. Base gravable</w:t>
            </w:r>
            <w:r>
              <w:rPr>
                <w:rFonts w:ascii="Cambria" w:hAnsi="Cambria"/>
                <w:b/>
                <w:bCs/>
                <w:sz w:val="20"/>
                <w:szCs w:val="20"/>
              </w:rPr>
              <w:t xml:space="preserve"> </w:t>
            </w:r>
            <w:r w:rsidRPr="00EE3358">
              <w:rPr>
                <w:rFonts w:ascii="Cambria" w:hAnsi="Cambria"/>
                <w:b/>
                <w:bCs/>
                <w:color w:val="FF0000"/>
                <w:sz w:val="20"/>
                <w:szCs w:val="20"/>
              </w:rPr>
              <w:t>(</w:t>
            </w:r>
            <w:r>
              <w:rPr>
                <w:rFonts w:ascii="Cambria" w:hAnsi="Cambria"/>
                <w:b/>
                <w:bCs/>
                <w:color w:val="FF0000"/>
                <w:sz w:val="20"/>
                <w:szCs w:val="20"/>
              </w:rPr>
              <w:t>m</w:t>
            </w:r>
            <w:r w:rsidRPr="00EE3358">
              <w:rPr>
                <w:rFonts w:ascii="Cambria" w:hAnsi="Cambria"/>
                <w:b/>
                <w:bCs/>
                <w:color w:val="FF0000"/>
                <w:sz w:val="20"/>
                <w:szCs w:val="20"/>
              </w:rPr>
              <w:t xml:space="preserve">odificado </w:t>
            </w:r>
            <w:r w:rsidRPr="00FB31CB">
              <w:rPr>
                <w:rFonts w:ascii="Cambria" w:hAnsi="Cambria"/>
                <w:b/>
                <w:bCs/>
                <w:color w:val="FF0000"/>
                <w:sz w:val="20"/>
                <w:szCs w:val="20"/>
              </w:rPr>
              <w:t xml:space="preserve">con artículos </w:t>
            </w:r>
            <w:r>
              <w:rPr>
                <w:rFonts w:ascii="Cambria" w:hAnsi="Cambria"/>
                <w:b/>
                <w:bCs/>
                <w:color w:val="FF0000"/>
                <w:sz w:val="20"/>
                <w:szCs w:val="20"/>
              </w:rPr>
              <w:t>41</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BB2D7C">
              <w:rPr>
                <w:rFonts w:ascii="Cambria" w:hAnsi="Cambria"/>
                <w:b/>
                <w:bCs/>
                <w:color w:val="FF0000"/>
                <w:sz w:val="20"/>
                <w:szCs w:val="20"/>
                <w:highlight w:val="yellow"/>
              </w:rPr>
              <w:t>)</w:t>
            </w:r>
            <w:r w:rsidRPr="00BB2D7C">
              <w:rPr>
                <w:rFonts w:ascii="Cambria" w:hAnsi="Cambria"/>
                <w:b/>
                <w:bCs/>
                <w:sz w:val="20"/>
                <w:szCs w:val="20"/>
                <w:highlight w:val="yellow"/>
              </w:rPr>
              <w:t xml:space="preserve">. </w:t>
            </w:r>
            <w:r w:rsidRPr="00BB2D7C">
              <w:rPr>
                <w:rFonts w:ascii="Cambria" w:hAnsi="Cambria"/>
                <w:sz w:val="20"/>
                <w:szCs w:val="20"/>
                <w:highlight w:val="yellow"/>
              </w:rPr>
              <w:t xml:space="preserve">La base gravable del impuesto al consumo de cigarrillos, tabaco elaborado, derivados, sucedáneos o imitadores, está constituida así: </w:t>
            </w:r>
          </w:p>
          <w:p w:rsidR="00EE3358" w:rsidRPr="00BB2D7C" w:rsidRDefault="00EE3358" w:rsidP="00EE3358">
            <w:pPr>
              <w:jc w:val="both"/>
              <w:rPr>
                <w:rFonts w:ascii="Cambria" w:hAnsi="Cambria"/>
                <w:sz w:val="20"/>
                <w:szCs w:val="20"/>
                <w:highlight w:val="yellow"/>
              </w:rPr>
            </w:pPr>
          </w:p>
          <w:p w:rsidR="00EE3358" w:rsidRPr="00EE3358" w:rsidRDefault="00EE3358" w:rsidP="00EE3358">
            <w:pPr>
              <w:jc w:val="both"/>
              <w:rPr>
                <w:rFonts w:ascii="Cambria" w:hAnsi="Cambria"/>
                <w:sz w:val="20"/>
                <w:szCs w:val="20"/>
              </w:rPr>
            </w:pPr>
            <w:r w:rsidRPr="00BB2D7C">
              <w:rPr>
                <w:rFonts w:ascii="Cambria" w:hAnsi="Cambria"/>
                <w:sz w:val="20"/>
                <w:szCs w:val="20"/>
                <w:highlight w:val="yellow"/>
              </w:rPr>
              <w:t xml:space="preserve">1. Para los cigarrillos y tabaco elaborado: Por un componente específico correspondiente a cada cajetilla de 20 cigarrillos, o por cada gramo de picadura, rapé o chimú; y un componente ad </w:t>
            </w:r>
            <w:proofErr w:type="spellStart"/>
            <w:r w:rsidRPr="00BB2D7C">
              <w:rPr>
                <w:rFonts w:ascii="Cambria" w:hAnsi="Cambria"/>
                <w:sz w:val="20"/>
                <w:szCs w:val="20"/>
                <w:highlight w:val="yellow"/>
              </w:rPr>
              <w:t>valorem</w:t>
            </w:r>
            <w:proofErr w:type="spellEnd"/>
            <w:r w:rsidRPr="00BB2D7C">
              <w:rPr>
                <w:rFonts w:ascii="Cambria" w:hAnsi="Cambria"/>
                <w:sz w:val="20"/>
                <w:szCs w:val="20"/>
                <w:highlight w:val="yellow"/>
              </w:rPr>
              <w:t xml:space="preserve"> correspondiente al</w:t>
            </w:r>
            <w:r w:rsidRPr="00EE3358">
              <w:rPr>
                <w:rFonts w:ascii="Cambria" w:hAnsi="Cambria"/>
                <w:sz w:val="20"/>
                <w:szCs w:val="20"/>
              </w:rPr>
              <w:t xml:space="preserve"> precio de venta al público, </w:t>
            </w:r>
            <w:r w:rsidRPr="00BB2D7C">
              <w:rPr>
                <w:rFonts w:ascii="Cambria" w:hAnsi="Cambria"/>
                <w:sz w:val="20"/>
                <w:szCs w:val="20"/>
                <w:highlight w:val="yellow"/>
              </w:rPr>
              <w:t>sin incluir IVA ni impuesto al consumo</w:t>
            </w:r>
            <w:r w:rsidRPr="00EE3358">
              <w:rPr>
                <w:rFonts w:ascii="Cambria" w:hAnsi="Cambria"/>
                <w:sz w:val="20"/>
                <w:szCs w:val="20"/>
              </w:rPr>
              <w:t xml:space="preserve">, certificado por el DANE. </w:t>
            </w:r>
          </w:p>
          <w:p w:rsidR="00EE3358" w:rsidRDefault="00EE3358" w:rsidP="00EE3358">
            <w:pPr>
              <w:jc w:val="both"/>
              <w:rPr>
                <w:rFonts w:ascii="Cambria" w:hAnsi="Cambria"/>
                <w:sz w:val="20"/>
                <w:szCs w:val="20"/>
              </w:rPr>
            </w:pPr>
          </w:p>
          <w:p w:rsidR="00EE3358" w:rsidRPr="00BB2D7C" w:rsidRDefault="00EE3358" w:rsidP="00EE3358">
            <w:pPr>
              <w:jc w:val="both"/>
              <w:rPr>
                <w:rFonts w:ascii="Cambria" w:hAnsi="Cambria"/>
                <w:sz w:val="20"/>
                <w:szCs w:val="20"/>
                <w:highlight w:val="yellow"/>
              </w:rPr>
            </w:pPr>
            <w:r w:rsidRPr="00BB2D7C">
              <w:rPr>
                <w:rFonts w:ascii="Cambria" w:hAnsi="Cambria"/>
                <w:sz w:val="20"/>
                <w:szCs w:val="20"/>
                <w:highlight w:val="yellow"/>
              </w:rPr>
              <w:t xml:space="preserve">2. Para los derivados, sucedáneos o imitadores: Por un componente específico correspondiente al número de mililitros del producto. Por un componente ad </w:t>
            </w:r>
            <w:proofErr w:type="spellStart"/>
            <w:r w:rsidRPr="00BB2D7C">
              <w:rPr>
                <w:rFonts w:ascii="Cambria" w:hAnsi="Cambria"/>
                <w:sz w:val="20"/>
                <w:szCs w:val="20"/>
                <w:highlight w:val="yellow"/>
              </w:rPr>
              <w:t>valorem</w:t>
            </w:r>
            <w:proofErr w:type="spellEnd"/>
            <w:r w:rsidRPr="00BB2D7C">
              <w:rPr>
                <w:rFonts w:ascii="Cambria" w:hAnsi="Cambria"/>
                <w:sz w:val="20"/>
                <w:szCs w:val="20"/>
                <w:highlight w:val="yellow"/>
              </w:rPr>
              <w:t xml:space="preserve"> correspondiente al precio de venta al público, sin incluir IVA ni impuesto al consumo, certificado por el DANE. </w:t>
            </w:r>
          </w:p>
          <w:p w:rsidR="00BB2D7C" w:rsidRPr="00BB2D7C" w:rsidRDefault="00BB2D7C" w:rsidP="00EE3358">
            <w:pPr>
              <w:jc w:val="both"/>
              <w:rPr>
                <w:rFonts w:ascii="Cambria" w:hAnsi="Cambria"/>
                <w:b/>
                <w:bCs/>
                <w:sz w:val="20"/>
                <w:szCs w:val="20"/>
                <w:highlight w:val="yellow"/>
              </w:rPr>
            </w:pPr>
          </w:p>
          <w:p w:rsidR="00EE3358" w:rsidRPr="00BB2D7C" w:rsidRDefault="00EE3358" w:rsidP="00EE3358">
            <w:pPr>
              <w:jc w:val="both"/>
              <w:rPr>
                <w:rFonts w:ascii="Cambria" w:hAnsi="Cambria"/>
                <w:sz w:val="20"/>
                <w:szCs w:val="20"/>
                <w:highlight w:val="yellow"/>
              </w:rPr>
            </w:pPr>
            <w:r w:rsidRPr="00BB2D7C">
              <w:rPr>
                <w:rFonts w:ascii="Cambria" w:hAnsi="Cambria"/>
                <w:b/>
                <w:bCs/>
                <w:sz w:val="20"/>
                <w:szCs w:val="20"/>
                <w:highlight w:val="yellow"/>
              </w:rPr>
              <w:t xml:space="preserve">Parágrafo 1. </w:t>
            </w:r>
            <w:r w:rsidRPr="00BB2D7C">
              <w:rPr>
                <w:rFonts w:ascii="Cambria" w:hAnsi="Cambria"/>
                <w:sz w:val="20"/>
                <w:szCs w:val="20"/>
                <w:highlight w:val="yellow"/>
              </w:rPr>
              <w:t xml:space="preserve">Para efectos de la certificación de que trata el presente artículo, el Departamento Administrativo Nacional de Estadística (DANE) se encuentra facultado para desarrollar directa o indirectamente a través de terceros, todas las gestiones indispensables para determinar anualmente el precio de venta al público de los productos sujetos al impuesto de consumo. Esta </w:t>
            </w:r>
            <w:r w:rsidRPr="00BB2D7C">
              <w:rPr>
                <w:rFonts w:ascii="Cambria" w:hAnsi="Cambria"/>
                <w:sz w:val="20"/>
                <w:szCs w:val="20"/>
                <w:highlight w:val="yellow"/>
              </w:rPr>
              <w:lastRenderedPageBreak/>
              <w:t xml:space="preserve">certificación deberá expedirse antes del 1o de enero de cada año. </w:t>
            </w:r>
          </w:p>
          <w:p w:rsidR="00BB2D7C" w:rsidRPr="00BB2D7C" w:rsidRDefault="00BB2D7C" w:rsidP="00EE3358">
            <w:pPr>
              <w:jc w:val="both"/>
              <w:rPr>
                <w:rFonts w:ascii="Cambria" w:hAnsi="Cambria"/>
                <w:sz w:val="20"/>
                <w:szCs w:val="20"/>
                <w:highlight w:val="yellow"/>
              </w:rPr>
            </w:pPr>
          </w:p>
          <w:p w:rsidR="00EE3358" w:rsidRPr="00BB2D7C" w:rsidRDefault="00EE3358" w:rsidP="00EE3358">
            <w:pPr>
              <w:jc w:val="both"/>
              <w:rPr>
                <w:rFonts w:ascii="Cambria" w:hAnsi="Cambria"/>
                <w:sz w:val="20"/>
                <w:szCs w:val="20"/>
                <w:highlight w:val="yellow"/>
              </w:rPr>
            </w:pPr>
            <w:r w:rsidRPr="00BB2D7C">
              <w:rPr>
                <w:rFonts w:ascii="Cambria" w:hAnsi="Cambria"/>
                <w:sz w:val="20"/>
                <w:szCs w:val="20"/>
                <w:highlight w:val="yellow"/>
              </w:rPr>
              <w:t xml:space="preserve">El DANE deberá certificar la base gravable para cada uno de los productos específicos sujetos al impuesto al consumo. </w:t>
            </w:r>
          </w:p>
          <w:p w:rsidR="00BB2D7C" w:rsidRPr="00BB2D7C" w:rsidRDefault="00BB2D7C" w:rsidP="00EE3358">
            <w:pPr>
              <w:jc w:val="both"/>
              <w:rPr>
                <w:rFonts w:ascii="Cambria" w:hAnsi="Cambria"/>
                <w:sz w:val="20"/>
                <w:szCs w:val="20"/>
                <w:highlight w:val="yellow"/>
              </w:rPr>
            </w:pPr>
          </w:p>
          <w:p w:rsidR="00EE3358" w:rsidRDefault="00EE3358" w:rsidP="00EE3358">
            <w:pPr>
              <w:jc w:val="both"/>
              <w:rPr>
                <w:rFonts w:ascii="Cambria" w:hAnsi="Cambria"/>
                <w:sz w:val="20"/>
                <w:szCs w:val="20"/>
              </w:rPr>
            </w:pPr>
            <w:r w:rsidRPr="00BB2D7C">
              <w:rPr>
                <w:rFonts w:ascii="Cambria" w:hAnsi="Cambria"/>
                <w:sz w:val="20"/>
                <w:szCs w:val="20"/>
                <w:highlight w:val="yellow"/>
              </w:rPr>
              <w:t>Las personas naturales o jurídicas, de cualquier orden o naturaleza, domiciliadas o residentes en el territorio nacional, están obligadas a suministrar al Departamento Administrativo Nacional de Estadística (DANE), los datos solicitados para efectos de determinar el precio de venta al público de los productos sujetos al impuesto al consumo. Las personas naturales o jurídicas que incumplan u obstaculicen los requerimientos de información del DANE estarán sujetas a las sanciones y multas señaladas en el artículo 6o de la Ley 79 de 1993.</w:t>
            </w:r>
          </w:p>
          <w:p w:rsidR="00BB2D7C" w:rsidRPr="00EE3358" w:rsidRDefault="00BB2D7C" w:rsidP="00EE3358">
            <w:pPr>
              <w:jc w:val="both"/>
              <w:rPr>
                <w:rFonts w:ascii="Cambria" w:hAnsi="Cambria"/>
                <w:b/>
                <w:bCs/>
                <w:sz w:val="20"/>
                <w:szCs w:val="20"/>
              </w:rPr>
            </w:pPr>
          </w:p>
        </w:tc>
      </w:tr>
      <w:tr w:rsidR="00585279" w:rsidTr="0092734A">
        <w:tc>
          <w:tcPr>
            <w:tcW w:w="4414" w:type="dxa"/>
          </w:tcPr>
          <w:p w:rsidR="00585279" w:rsidRDefault="00585279" w:rsidP="00585279">
            <w:pPr>
              <w:jc w:val="both"/>
              <w:rPr>
                <w:rFonts w:ascii="Cambria" w:hAnsi="Cambria"/>
                <w:sz w:val="20"/>
                <w:szCs w:val="20"/>
              </w:rPr>
            </w:pPr>
            <w:bookmarkStart w:id="58" w:name="211"/>
            <w:r w:rsidRPr="00585279">
              <w:rPr>
                <w:rFonts w:ascii="Cambria" w:hAnsi="Cambria" w:cs="Arial"/>
                <w:b/>
                <w:bCs/>
                <w:color w:val="000000" w:themeColor="text1"/>
                <w:sz w:val="20"/>
                <w:szCs w:val="20"/>
              </w:rPr>
              <w:lastRenderedPageBreak/>
              <w:t>Artículo 211. </w:t>
            </w:r>
            <w:r w:rsidRPr="00585279">
              <w:rPr>
                <w:rStyle w:val="iaj"/>
                <w:rFonts w:ascii="Cambria" w:hAnsi="Cambria" w:cs="Arial"/>
                <w:b/>
                <w:bCs/>
                <w:color w:val="000000" w:themeColor="text1"/>
                <w:sz w:val="20"/>
                <w:szCs w:val="20"/>
              </w:rPr>
              <w:t>Tarifas del componente específico del impuesto al consumo de cigarrillos y tabaco elaborado</w:t>
            </w:r>
            <w:r w:rsidRPr="00585279">
              <w:rPr>
                <w:rStyle w:val="iaj"/>
                <w:rFonts w:ascii="Cambria" w:hAnsi="Cambria" w:cs="Arial"/>
                <w:b/>
                <w:bCs/>
                <w:i/>
                <w:iCs/>
                <w:color w:val="0073FF"/>
                <w:sz w:val="20"/>
                <w:szCs w:val="20"/>
              </w:rPr>
              <w:t>.</w:t>
            </w:r>
            <w:bookmarkEnd w:id="58"/>
            <w:r w:rsidRPr="00585279">
              <w:rPr>
                <w:rFonts w:ascii="Cambria" w:hAnsi="Cambria" w:cs="Arial"/>
                <w:b/>
                <w:bCs/>
                <w:color w:val="008400"/>
                <w:sz w:val="20"/>
                <w:szCs w:val="20"/>
              </w:rPr>
              <w:t> </w:t>
            </w:r>
            <w:r w:rsidRPr="00585279">
              <w:rPr>
                <w:rFonts w:ascii="Cambria" w:hAnsi="Cambria"/>
                <w:sz w:val="20"/>
                <w:szCs w:val="20"/>
              </w:rPr>
              <w:t xml:space="preserve"> </w:t>
            </w:r>
            <w:r w:rsidRPr="00585279">
              <w:rPr>
                <w:rFonts w:ascii="Cambria" w:hAnsi="Cambria"/>
                <w:sz w:val="20"/>
                <w:szCs w:val="20"/>
                <w:highlight w:val="yellow"/>
              </w:rPr>
              <w:t>A partir del año 2017</w:t>
            </w:r>
            <w:r w:rsidRPr="00585279">
              <w:rPr>
                <w:rFonts w:ascii="Cambria" w:hAnsi="Cambria"/>
                <w:sz w:val="20"/>
                <w:szCs w:val="20"/>
              </w:rPr>
              <w:t>, las tarifas del impuesto al consumo de cigarrillos y tabaco elaborado serán las siguientes:</w:t>
            </w:r>
          </w:p>
          <w:p w:rsidR="00585279" w:rsidRDefault="00585279" w:rsidP="00585279">
            <w:pPr>
              <w:jc w:val="both"/>
              <w:rPr>
                <w:rFonts w:ascii="Cambria" w:hAnsi="Cambria"/>
                <w:sz w:val="20"/>
                <w:szCs w:val="20"/>
              </w:rPr>
            </w:pPr>
          </w:p>
          <w:p w:rsidR="00585279" w:rsidRPr="00585279" w:rsidRDefault="00585279" w:rsidP="00585279">
            <w:pPr>
              <w:jc w:val="both"/>
              <w:rPr>
                <w:rFonts w:ascii="Cambria" w:hAnsi="Cambria"/>
                <w:sz w:val="20"/>
                <w:szCs w:val="20"/>
              </w:rPr>
            </w:pPr>
          </w:p>
          <w:p w:rsidR="00585279" w:rsidRPr="00585279" w:rsidRDefault="00585279" w:rsidP="00585279">
            <w:pPr>
              <w:jc w:val="both"/>
              <w:rPr>
                <w:rFonts w:ascii="Cambria" w:hAnsi="Cambria"/>
                <w:sz w:val="20"/>
                <w:szCs w:val="20"/>
              </w:rPr>
            </w:pPr>
            <w:r w:rsidRPr="00585279">
              <w:rPr>
                <w:rFonts w:ascii="Cambria" w:hAnsi="Cambria"/>
                <w:sz w:val="20"/>
                <w:szCs w:val="20"/>
              </w:rPr>
              <w:t xml:space="preserve">1. Para los cigarrillos, tabacos, cigarros y cigarritos, </w:t>
            </w:r>
            <w:r w:rsidRPr="00585279">
              <w:rPr>
                <w:rFonts w:ascii="Cambria" w:hAnsi="Cambria"/>
                <w:sz w:val="20"/>
                <w:szCs w:val="20"/>
                <w:highlight w:val="yellow"/>
              </w:rPr>
              <w:t>$1.400 en 2017 y $2.100 en 2018 por cada cajetilla de veinte (20) unidades o proporcionalmente a su contenido.</w:t>
            </w:r>
          </w:p>
          <w:p w:rsidR="00585279" w:rsidRDefault="00585279" w:rsidP="00585279">
            <w:pPr>
              <w:jc w:val="both"/>
              <w:rPr>
                <w:rFonts w:ascii="Cambria" w:hAnsi="Cambria"/>
                <w:sz w:val="20"/>
                <w:szCs w:val="20"/>
              </w:rPr>
            </w:pPr>
          </w:p>
          <w:p w:rsidR="00585279" w:rsidRPr="00585279" w:rsidRDefault="00585279" w:rsidP="00585279">
            <w:pPr>
              <w:jc w:val="both"/>
              <w:rPr>
                <w:rFonts w:ascii="Cambria" w:hAnsi="Cambria"/>
                <w:sz w:val="20"/>
                <w:szCs w:val="20"/>
                <w:highlight w:val="yellow"/>
              </w:rPr>
            </w:pPr>
            <w:r w:rsidRPr="00585279">
              <w:rPr>
                <w:rFonts w:ascii="Cambria" w:hAnsi="Cambria"/>
                <w:sz w:val="20"/>
                <w:szCs w:val="20"/>
              </w:rPr>
              <w:t xml:space="preserve">2. </w:t>
            </w:r>
            <w:r w:rsidRPr="00585279">
              <w:rPr>
                <w:rFonts w:ascii="Cambria" w:hAnsi="Cambria"/>
                <w:sz w:val="20"/>
                <w:szCs w:val="20"/>
                <w:highlight w:val="yellow"/>
              </w:rPr>
              <w:t>La tarifa por cada gramo de picadura, rapé o chimú será de $90 en 2017 y $167 en 2018.</w:t>
            </w:r>
          </w:p>
          <w:p w:rsidR="00585279" w:rsidRPr="00585279" w:rsidRDefault="00585279" w:rsidP="00585279">
            <w:pPr>
              <w:jc w:val="both"/>
              <w:rPr>
                <w:rFonts w:ascii="Cambria" w:hAnsi="Cambria"/>
                <w:sz w:val="20"/>
                <w:szCs w:val="20"/>
                <w:highlight w:val="yellow"/>
              </w:rPr>
            </w:pPr>
          </w:p>
          <w:p w:rsidR="00585279" w:rsidRPr="00585279" w:rsidRDefault="00585279" w:rsidP="00585279">
            <w:pPr>
              <w:jc w:val="both"/>
              <w:rPr>
                <w:rFonts w:ascii="Cambria" w:hAnsi="Cambria"/>
                <w:sz w:val="20"/>
                <w:szCs w:val="20"/>
                <w:highlight w:val="yellow"/>
              </w:rPr>
            </w:pPr>
            <w:r w:rsidRPr="00585279">
              <w:rPr>
                <w:rFonts w:ascii="Cambria" w:hAnsi="Cambria"/>
                <w:sz w:val="20"/>
                <w:szCs w:val="20"/>
                <w:highlight w:val="yellow"/>
              </w:rPr>
              <w:t>Las anteriores</w:t>
            </w:r>
            <w:r w:rsidRPr="00585279">
              <w:rPr>
                <w:rFonts w:ascii="Cambria" w:hAnsi="Cambria"/>
                <w:sz w:val="20"/>
                <w:szCs w:val="20"/>
              </w:rPr>
              <w:t xml:space="preserve"> tarifas se actualizarán anualmente</w:t>
            </w:r>
            <w:r w:rsidRPr="00585279">
              <w:rPr>
                <w:rFonts w:ascii="Cambria" w:hAnsi="Cambria"/>
                <w:sz w:val="20"/>
                <w:szCs w:val="20"/>
                <w:highlight w:val="yellow"/>
              </w:rPr>
              <w:t xml:space="preserve">, a partir del año 2019, </w:t>
            </w:r>
            <w:r w:rsidRPr="00585279">
              <w:rPr>
                <w:rFonts w:ascii="Cambria" w:hAnsi="Cambria"/>
                <w:sz w:val="20"/>
                <w:szCs w:val="20"/>
              </w:rPr>
              <w:t>en un porcentaje equivalente al del crecimiento del índice de precios al consumidor certificado por el DANE más cuatro puntos.</w:t>
            </w:r>
            <w:r w:rsidRPr="00585279">
              <w:rPr>
                <w:rFonts w:ascii="Cambria" w:hAnsi="Cambria"/>
                <w:sz w:val="20"/>
                <w:szCs w:val="20"/>
                <w:highlight w:val="yellow"/>
              </w:rPr>
              <w:t xml:space="preserve"> </w:t>
            </w:r>
            <w:r w:rsidRPr="00585279">
              <w:rPr>
                <w:rFonts w:ascii="Cambria" w:hAnsi="Cambria"/>
                <w:sz w:val="20"/>
                <w:szCs w:val="20"/>
              </w:rPr>
              <w:t>La Dirección de Apoyo Fiscal del Ministerio de Hacienda y Crédito Público, certificará y publicará antes del 1o de enero de cada año las tarifas actualizadas</w:t>
            </w:r>
            <w:r w:rsidRPr="00585279">
              <w:rPr>
                <w:rFonts w:ascii="Cambria" w:hAnsi="Cambria"/>
                <w:sz w:val="20"/>
                <w:szCs w:val="20"/>
                <w:highlight w:val="yellow"/>
              </w:rPr>
              <w:t>.</w:t>
            </w:r>
          </w:p>
          <w:p w:rsidR="00585279" w:rsidRPr="00585279" w:rsidRDefault="00585279" w:rsidP="00585279">
            <w:pPr>
              <w:jc w:val="both"/>
              <w:rPr>
                <w:rStyle w:val="baj"/>
                <w:rFonts w:ascii="Cambria" w:hAnsi="Cambria" w:cs="Open Sans"/>
                <w:b/>
                <w:bCs/>
                <w:color w:val="000000"/>
                <w:sz w:val="20"/>
                <w:szCs w:val="20"/>
                <w:highlight w:val="yellow"/>
              </w:rPr>
            </w:pPr>
          </w:p>
          <w:p w:rsidR="00585279" w:rsidRPr="00585279" w:rsidRDefault="00585279" w:rsidP="00585279">
            <w:pPr>
              <w:jc w:val="both"/>
              <w:rPr>
                <w:rFonts w:ascii="Cambria" w:hAnsi="Cambria"/>
                <w:sz w:val="20"/>
                <w:szCs w:val="20"/>
              </w:rPr>
            </w:pPr>
            <w:r w:rsidRPr="00585279">
              <w:rPr>
                <w:rStyle w:val="baj"/>
                <w:rFonts w:ascii="Cambria" w:hAnsi="Cambria" w:cs="Open Sans"/>
                <w:b/>
                <w:bCs/>
                <w:color w:val="000000"/>
                <w:sz w:val="20"/>
                <w:szCs w:val="20"/>
              </w:rPr>
              <w:t>PARÁGRAFO.</w:t>
            </w:r>
            <w:r w:rsidRPr="00585279">
              <w:rPr>
                <w:rFonts w:ascii="Cambria" w:hAnsi="Cambria"/>
                <w:sz w:val="20"/>
                <w:szCs w:val="20"/>
              </w:rPr>
              <w:t> Los ingresos adicionales recaudados por efecto del aumento de la tarifa del impuesto al consumo de cigarrillos serán destinados a financiar el aseguramiento en salud.</w:t>
            </w:r>
          </w:p>
          <w:p w:rsidR="00585279" w:rsidRPr="00585279" w:rsidRDefault="00585279" w:rsidP="00585279">
            <w:pPr>
              <w:jc w:val="both"/>
              <w:rPr>
                <w:rFonts w:ascii="Cambria" w:hAnsi="Cambria"/>
                <w:b/>
                <w:bCs/>
                <w:color w:val="000000" w:themeColor="text1"/>
                <w:sz w:val="20"/>
                <w:szCs w:val="20"/>
              </w:rPr>
            </w:pPr>
          </w:p>
        </w:tc>
        <w:tc>
          <w:tcPr>
            <w:tcW w:w="4414" w:type="dxa"/>
          </w:tcPr>
          <w:p w:rsidR="00585279" w:rsidRPr="00585279" w:rsidRDefault="00585279" w:rsidP="00585279">
            <w:pPr>
              <w:jc w:val="both"/>
              <w:rPr>
                <w:rFonts w:ascii="Cambria" w:hAnsi="Cambria"/>
                <w:sz w:val="20"/>
                <w:szCs w:val="20"/>
              </w:rPr>
            </w:pPr>
            <w:r w:rsidRPr="00585279">
              <w:rPr>
                <w:rFonts w:ascii="Cambria" w:hAnsi="Cambria"/>
                <w:b/>
                <w:bCs/>
                <w:sz w:val="20"/>
                <w:szCs w:val="20"/>
              </w:rPr>
              <w:t>Artículo 211. Tarifas</w:t>
            </w:r>
            <w:r>
              <w:rPr>
                <w:rFonts w:ascii="Cambria" w:hAnsi="Cambria"/>
                <w:b/>
                <w:bCs/>
                <w:sz w:val="20"/>
                <w:szCs w:val="20"/>
              </w:rPr>
              <w:t xml:space="preserve"> </w:t>
            </w:r>
            <w:r w:rsidRPr="00EE3358">
              <w:rPr>
                <w:rFonts w:ascii="Cambria" w:hAnsi="Cambria"/>
                <w:b/>
                <w:bCs/>
                <w:color w:val="FF0000"/>
                <w:sz w:val="20"/>
                <w:szCs w:val="20"/>
              </w:rPr>
              <w:t>(</w:t>
            </w:r>
            <w:r>
              <w:rPr>
                <w:rFonts w:ascii="Cambria" w:hAnsi="Cambria"/>
                <w:b/>
                <w:bCs/>
                <w:color w:val="FF0000"/>
                <w:sz w:val="20"/>
                <w:szCs w:val="20"/>
              </w:rPr>
              <w:t>m</w:t>
            </w:r>
            <w:r w:rsidRPr="00EE3358">
              <w:rPr>
                <w:rFonts w:ascii="Cambria" w:hAnsi="Cambria"/>
                <w:b/>
                <w:bCs/>
                <w:color w:val="FF0000"/>
                <w:sz w:val="20"/>
                <w:szCs w:val="20"/>
              </w:rPr>
              <w:t xml:space="preserve">odificado </w:t>
            </w:r>
            <w:r w:rsidRPr="00FB31CB">
              <w:rPr>
                <w:rFonts w:ascii="Cambria" w:hAnsi="Cambria"/>
                <w:b/>
                <w:bCs/>
                <w:color w:val="FF0000"/>
                <w:sz w:val="20"/>
                <w:szCs w:val="20"/>
              </w:rPr>
              <w:t xml:space="preserve">con artículos </w:t>
            </w:r>
            <w:r>
              <w:rPr>
                <w:rFonts w:ascii="Cambria" w:hAnsi="Cambria"/>
                <w:b/>
                <w:bCs/>
                <w:color w:val="FF0000"/>
                <w:sz w:val="20"/>
                <w:szCs w:val="20"/>
              </w:rPr>
              <w:t>42</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BB2D7C">
              <w:rPr>
                <w:rFonts w:ascii="Cambria" w:hAnsi="Cambria"/>
                <w:b/>
                <w:bCs/>
                <w:color w:val="FF0000"/>
                <w:sz w:val="20"/>
                <w:szCs w:val="20"/>
                <w:highlight w:val="yellow"/>
              </w:rPr>
              <w:t>)</w:t>
            </w:r>
            <w:r w:rsidRPr="00585279">
              <w:rPr>
                <w:rFonts w:ascii="Cambria" w:hAnsi="Cambria"/>
                <w:b/>
                <w:bCs/>
                <w:sz w:val="20"/>
                <w:szCs w:val="20"/>
              </w:rPr>
              <w:t xml:space="preserve">. </w:t>
            </w:r>
            <w:r w:rsidRPr="00585279">
              <w:rPr>
                <w:rFonts w:ascii="Cambria" w:hAnsi="Cambria"/>
                <w:sz w:val="20"/>
                <w:szCs w:val="20"/>
              </w:rPr>
              <w:t xml:space="preserve">Las tarifas del impuesto al consumo de cigarrillos y tabaco elaborado, derivados, sucedáneos o imitadores serán las siguientes: </w:t>
            </w:r>
          </w:p>
          <w:p w:rsidR="00585279" w:rsidRDefault="00585279" w:rsidP="00585279">
            <w:pPr>
              <w:jc w:val="both"/>
              <w:rPr>
                <w:rFonts w:ascii="Cambria" w:hAnsi="Cambria"/>
                <w:sz w:val="20"/>
                <w:szCs w:val="20"/>
              </w:rPr>
            </w:pPr>
          </w:p>
          <w:p w:rsidR="00585279" w:rsidRDefault="00585279" w:rsidP="00585279">
            <w:pPr>
              <w:jc w:val="both"/>
              <w:rPr>
                <w:rFonts w:ascii="Cambria" w:hAnsi="Cambria"/>
                <w:sz w:val="20"/>
                <w:szCs w:val="20"/>
              </w:rPr>
            </w:pPr>
          </w:p>
          <w:p w:rsidR="00585279" w:rsidRPr="00585279" w:rsidRDefault="00585279" w:rsidP="00585279">
            <w:pPr>
              <w:jc w:val="both"/>
              <w:rPr>
                <w:rFonts w:ascii="Cambria" w:hAnsi="Cambria"/>
                <w:sz w:val="20"/>
                <w:szCs w:val="20"/>
              </w:rPr>
            </w:pPr>
            <w:r w:rsidRPr="00585279">
              <w:rPr>
                <w:rFonts w:ascii="Cambria" w:hAnsi="Cambria"/>
                <w:sz w:val="20"/>
                <w:szCs w:val="20"/>
              </w:rPr>
              <w:t xml:space="preserve">1. Para los cigarrillos, tabacos, cigarros, cigarritos y </w:t>
            </w:r>
            <w:r w:rsidRPr="00585279">
              <w:rPr>
                <w:rFonts w:ascii="Cambria" w:hAnsi="Cambria"/>
                <w:sz w:val="20"/>
                <w:szCs w:val="20"/>
                <w:highlight w:val="yellow"/>
              </w:rPr>
              <w:t>productos de tabaco calentado (PTC) son las siguientes:</w:t>
            </w:r>
            <w:r w:rsidRPr="00585279">
              <w:rPr>
                <w:rFonts w:ascii="Cambria" w:hAnsi="Cambria"/>
                <w:sz w:val="20"/>
                <w:szCs w:val="20"/>
              </w:rPr>
              <w:t xml:space="preserve"> </w:t>
            </w:r>
          </w:p>
          <w:p w:rsidR="00585279" w:rsidRPr="00585279" w:rsidRDefault="00585279" w:rsidP="00585279">
            <w:pPr>
              <w:jc w:val="both"/>
              <w:rPr>
                <w:rFonts w:ascii="Cambria" w:hAnsi="Cambria"/>
                <w:sz w:val="20"/>
                <w:szCs w:val="20"/>
                <w:highlight w:val="yellow"/>
              </w:rPr>
            </w:pPr>
            <w:r w:rsidRPr="00585279">
              <w:rPr>
                <w:rFonts w:ascii="Cambria" w:hAnsi="Cambria"/>
                <w:sz w:val="20"/>
                <w:szCs w:val="20"/>
                <w:highlight w:val="yellow"/>
              </w:rPr>
              <w:t xml:space="preserve">Por un componente específico $11.200 por cada cajetilla de veinte (20) unidades o proporcionalmente a su contenido. La tarifa por cada gramo de picadura, rapé o chimú será de $891. </w:t>
            </w:r>
          </w:p>
          <w:p w:rsidR="00585279" w:rsidRPr="00585279" w:rsidRDefault="00585279" w:rsidP="00585279">
            <w:pPr>
              <w:jc w:val="both"/>
              <w:rPr>
                <w:rFonts w:ascii="Cambria" w:hAnsi="Cambria" w:cs="Aptos"/>
                <w:sz w:val="20"/>
                <w:szCs w:val="20"/>
              </w:rPr>
            </w:pPr>
            <w:r w:rsidRPr="00585279">
              <w:rPr>
                <w:rFonts w:ascii="Cambria" w:hAnsi="Cambria"/>
                <w:sz w:val="20"/>
                <w:szCs w:val="20"/>
                <w:highlight w:val="yellow"/>
              </w:rPr>
              <w:t xml:space="preserve">Por un componente ad </w:t>
            </w:r>
            <w:proofErr w:type="spellStart"/>
            <w:r w:rsidRPr="00585279">
              <w:rPr>
                <w:rFonts w:ascii="Cambria" w:hAnsi="Cambria"/>
                <w:sz w:val="20"/>
                <w:szCs w:val="20"/>
                <w:highlight w:val="yellow"/>
              </w:rPr>
              <w:t>valorem</w:t>
            </w:r>
            <w:proofErr w:type="spellEnd"/>
            <w:r w:rsidRPr="00585279">
              <w:rPr>
                <w:rFonts w:ascii="Cambria" w:hAnsi="Cambria"/>
                <w:sz w:val="20"/>
                <w:szCs w:val="20"/>
                <w:highlight w:val="yellow"/>
              </w:rPr>
              <w:t xml:space="preserve"> que se liquidará aplicando una tarifa del 10% sobre el precio de venta al público certificado anualmente por el DANE. Este componente ad </w:t>
            </w:r>
            <w:proofErr w:type="spellStart"/>
            <w:r w:rsidRPr="00585279">
              <w:rPr>
                <w:rFonts w:ascii="Cambria" w:hAnsi="Cambria"/>
                <w:sz w:val="20"/>
                <w:szCs w:val="20"/>
                <w:highlight w:val="yellow"/>
              </w:rPr>
              <w:t>valorem</w:t>
            </w:r>
            <w:proofErr w:type="spellEnd"/>
            <w:r w:rsidRPr="00585279">
              <w:rPr>
                <w:rFonts w:ascii="Cambria" w:hAnsi="Cambria"/>
                <w:sz w:val="20"/>
                <w:szCs w:val="20"/>
                <w:highlight w:val="yellow"/>
              </w:rPr>
              <w:t xml:space="preserve"> será liquidado y pagado por cada cajetilla de veinte (20) unidades o proporcionalmente a su contenido, por los responsables del impuesto en la respectiva declaración. Para la picadura, rapé y chimú, el ad </w:t>
            </w:r>
            <w:proofErr w:type="spellStart"/>
            <w:r w:rsidRPr="00585279">
              <w:rPr>
                <w:rFonts w:ascii="Cambria" w:hAnsi="Cambria"/>
                <w:sz w:val="20"/>
                <w:szCs w:val="20"/>
                <w:highlight w:val="yellow"/>
              </w:rPr>
              <w:t>valorem</w:t>
            </w:r>
            <w:proofErr w:type="spellEnd"/>
            <w:r w:rsidRPr="00585279">
              <w:rPr>
                <w:rFonts w:ascii="Cambria" w:hAnsi="Cambria"/>
                <w:sz w:val="20"/>
                <w:szCs w:val="20"/>
                <w:highlight w:val="yellow"/>
              </w:rPr>
              <w:t xml:space="preserve"> del 10% se liquidará sobre el valor del impuesto al consumo específico de este producto.</w:t>
            </w:r>
            <w:r w:rsidRPr="00585279">
              <w:rPr>
                <w:rFonts w:ascii="Cambria" w:hAnsi="Cambria"/>
                <w:sz w:val="20"/>
                <w:szCs w:val="20"/>
              </w:rPr>
              <w:t xml:space="preserve"> </w:t>
            </w:r>
          </w:p>
          <w:p w:rsidR="00585279" w:rsidRPr="00585279" w:rsidRDefault="00585279" w:rsidP="00585279">
            <w:pPr>
              <w:jc w:val="both"/>
              <w:rPr>
                <w:rFonts w:ascii="Cambria" w:hAnsi="Cambria" w:cstheme="minorBidi"/>
                <w:sz w:val="20"/>
                <w:szCs w:val="20"/>
              </w:rPr>
            </w:pPr>
          </w:p>
          <w:p w:rsidR="00585279" w:rsidRPr="00585279" w:rsidRDefault="00585279" w:rsidP="00585279">
            <w:pPr>
              <w:jc w:val="both"/>
              <w:rPr>
                <w:rFonts w:ascii="Cambria" w:hAnsi="Cambria"/>
                <w:sz w:val="20"/>
                <w:szCs w:val="20"/>
                <w:highlight w:val="yellow"/>
              </w:rPr>
            </w:pPr>
            <w:r w:rsidRPr="00585279">
              <w:rPr>
                <w:rFonts w:ascii="Cambria" w:hAnsi="Cambria"/>
                <w:sz w:val="20"/>
                <w:szCs w:val="20"/>
                <w:highlight w:val="yellow"/>
              </w:rPr>
              <w:t xml:space="preserve">2. Para los derivados, sucedáneos o imitadores es la siguiente: </w:t>
            </w:r>
          </w:p>
          <w:p w:rsidR="00585279" w:rsidRPr="00585279" w:rsidRDefault="00585279" w:rsidP="00585279">
            <w:pPr>
              <w:jc w:val="both"/>
              <w:rPr>
                <w:rFonts w:ascii="Cambria" w:hAnsi="Cambria"/>
                <w:sz w:val="20"/>
                <w:szCs w:val="20"/>
              </w:rPr>
            </w:pPr>
            <w:r w:rsidRPr="00585279">
              <w:rPr>
                <w:rFonts w:ascii="Cambria" w:hAnsi="Cambria"/>
                <w:sz w:val="20"/>
                <w:szCs w:val="20"/>
                <w:highlight w:val="yellow"/>
              </w:rPr>
              <w:t xml:space="preserve">Por un componente específico $2.000 por mililitro y un componente ad </w:t>
            </w:r>
            <w:proofErr w:type="spellStart"/>
            <w:r w:rsidRPr="00585279">
              <w:rPr>
                <w:rFonts w:ascii="Cambria" w:hAnsi="Cambria"/>
                <w:sz w:val="20"/>
                <w:szCs w:val="20"/>
                <w:highlight w:val="yellow"/>
              </w:rPr>
              <w:t>valorem</w:t>
            </w:r>
            <w:proofErr w:type="spellEnd"/>
            <w:r w:rsidRPr="00585279">
              <w:rPr>
                <w:rFonts w:ascii="Cambria" w:hAnsi="Cambria"/>
                <w:sz w:val="20"/>
                <w:szCs w:val="20"/>
                <w:highlight w:val="yellow"/>
              </w:rPr>
              <w:t xml:space="preserve"> que se liquidará aplicando una tarifa del 30% sobre el precio de venta al público certificado anualmente por el DANE.</w:t>
            </w:r>
            <w:r w:rsidRPr="00585279">
              <w:rPr>
                <w:rFonts w:ascii="Cambria" w:hAnsi="Cambria"/>
                <w:sz w:val="20"/>
                <w:szCs w:val="20"/>
              </w:rPr>
              <w:t xml:space="preserve"> </w:t>
            </w:r>
          </w:p>
          <w:p w:rsidR="00585279" w:rsidRDefault="00585279" w:rsidP="00585279">
            <w:pPr>
              <w:jc w:val="both"/>
              <w:rPr>
                <w:rFonts w:ascii="Cambria" w:hAnsi="Cambria"/>
                <w:b/>
                <w:bCs/>
                <w:sz w:val="20"/>
                <w:szCs w:val="20"/>
              </w:rPr>
            </w:pPr>
          </w:p>
          <w:p w:rsidR="00585279" w:rsidRDefault="00585279" w:rsidP="00585279">
            <w:pPr>
              <w:jc w:val="both"/>
              <w:rPr>
                <w:rFonts w:ascii="Cambria" w:hAnsi="Cambria"/>
                <w:sz w:val="20"/>
                <w:szCs w:val="20"/>
              </w:rPr>
            </w:pPr>
            <w:r w:rsidRPr="00585279">
              <w:rPr>
                <w:rFonts w:ascii="Cambria" w:hAnsi="Cambria"/>
                <w:b/>
                <w:bCs/>
                <w:sz w:val="20"/>
                <w:szCs w:val="20"/>
              </w:rPr>
              <w:t xml:space="preserve">Parágrafo 1. </w:t>
            </w:r>
            <w:r w:rsidRPr="00585279">
              <w:rPr>
                <w:rFonts w:ascii="Cambria" w:hAnsi="Cambria"/>
                <w:sz w:val="20"/>
                <w:szCs w:val="20"/>
                <w:highlight w:val="yellow"/>
              </w:rPr>
              <w:t xml:space="preserve">Estas </w:t>
            </w:r>
            <w:r w:rsidRPr="00585279">
              <w:rPr>
                <w:rFonts w:ascii="Cambria" w:hAnsi="Cambria"/>
                <w:sz w:val="20"/>
                <w:szCs w:val="20"/>
              </w:rPr>
              <w:t xml:space="preserve">tarifas se actualizarán anualmente cada 1º de enero en un porcentaje equivalente al del crecimiento del índice de precios al consumidor certificado por el DANE más cuatro (4) puntos. La Dirección de Apoyo Fiscal del Ministerio de Hacienda y Crédito Público, certificará y publicará antes del 1 de enero de cada año las tarifas actualizadas. </w:t>
            </w:r>
          </w:p>
          <w:p w:rsidR="00585279" w:rsidRPr="00585279" w:rsidRDefault="00585279" w:rsidP="00585279">
            <w:pPr>
              <w:jc w:val="both"/>
              <w:rPr>
                <w:rFonts w:ascii="Cambria" w:hAnsi="Cambria"/>
                <w:sz w:val="20"/>
                <w:szCs w:val="20"/>
              </w:rPr>
            </w:pPr>
          </w:p>
          <w:p w:rsidR="00585279" w:rsidRDefault="00585279" w:rsidP="00585279">
            <w:pPr>
              <w:jc w:val="both"/>
              <w:rPr>
                <w:rFonts w:ascii="Cambria" w:hAnsi="Cambria"/>
                <w:sz w:val="20"/>
                <w:szCs w:val="20"/>
              </w:rPr>
            </w:pPr>
            <w:r w:rsidRPr="00585279">
              <w:rPr>
                <w:rFonts w:ascii="Cambria" w:hAnsi="Cambria"/>
                <w:b/>
                <w:bCs/>
                <w:sz w:val="20"/>
                <w:szCs w:val="20"/>
              </w:rPr>
              <w:t xml:space="preserve">Parágrafo 2. </w:t>
            </w:r>
            <w:r w:rsidRPr="00585279">
              <w:rPr>
                <w:rFonts w:ascii="Cambria" w:hAnsi="Cambria"/>
                <w:sz w:val="20"/>
                <w:szCs w:val="20"/>
              </w:rPr>
              <w:t xml:space="preserve">Los ingresos adicionales recaudados por efecto del aumento de este impuesto serán destinados a financiar el aseguramiento en salud. </w:t>
            </w:r>
          </w:p>
          <w:p w:rsidR="00585279" w:rsidRPr="00585279" w:rsidRDefault="00585279" w:rsidP="00585279">
            <w:pPr>
              <w:jc w:val="both"/>
              <w:rPr>
                <w:rFonts w:ascii="Cambria" w:hAnsi="Cambria"/>
                <w:b/>
                <w:bCs/>
                <w:sz w:val="20"/>
                <w:szCs w:val="20"/>
              </w:rPr>
            </w:pPr>
          </w:p>
        </w:tc>
      </w:tr>
    </w:tbl>
    <w:p w:rsidR="009E279D" w:rsidRDefault="009E279D">
      <w:pPr>
        <w:rPr>
          <w:lang w:val="es-ES"/>
        </w:rPr>
      </w:pPr>
    </w:p>
    <w:p w:rsidR="009E279D" w:rsidRPr="00311A6A" w:rsidRDefault="00311A6A" w:rsidP="009E279D">
      <w:pPr>
        <w:rPr>
          <w:rFonts w:ascii="Calibri" w:hAnsi="Calibri"/>
          <w:b/>
          <w:color w:val="FF0000"/>
          <w:lang w:val="es-ES"/>
        </w:rPr>
      </w:pPr>
      <w:r w:rsidRPr="00311A6A">
        <w:rPr>
          <w:rFonts w:ascii="Calibri" w:hAnsi="Calibri"/>
          <w:b/>
          <w:color w:val="FF0000"/>
          <w:lang w:val="es-ES"/>
        </w:rPr>
        <w:t>Ley 788 de diciembre 27 de 2002 (Por la cual se expiden normas en materia tributaria y penal del orden nacional y territorial; y se dictan otras disposiciones)</w:t>
      </w:r>
    </w:p>
    <w:p w:rsidR="00311A6A" w:rsidRDefault="00311A6A" w:rsidP="009E279D"/>
    <w:tbl>
      <w:tblPr>
        <w:tblStyle w:val="Tablaconcuadrcula"/>
        <w:tblW w:w="0" w:type="auto"/>
        <w:tblLook w:val="04A0" w:firstRow="1" w:lastRow="0" w:firstColumn="1" w:lastColumn="0" w:noHBand="0" w:noVBand="1"/>
      </w:tblPr>
      <w:tblGrid>
        <w:gridCol w:w="4414"/>
        <w:gridCol w:w="4414"/>
      </w:tblGrid>
      <w:tr w:rsidR="009E279D" w:rsidRPr="0065720A" w:rsidTr="0092734A">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Nueva versión con que quedaría la norma</w:t>
            </w:r>
          </w:p>
        </w:tc>
      </w:tr>
      <w:tr w:rsidR="009E279D" w:rsidTr="0092734A">
        <w:tc>
          <w:tcPr>
            <w:tcW w:w="4414" w:type="dxa"/>
          </w:tcPr>
          <w:p w:rsidR="004E245C" w:rsidRDefault="004E245C" w:rsidP="004E245C">
            <w:pPr>
              <w:jc w:val="both"/>
              <w:rPr>
                <w:rFonts w:ascii="Cambria" w:hAnsi="Cambria"/>
                <w:sz w:val="20"/>
                <w:szCs w:val="20"/>
              </w:rPr>
            </w:pPr>
            <w:bookmarkStart w:id="59" w:name="50"/>
            <w:r w:rsidRPr="004E245C">
              <w:rPr>
                <w:rFonts w:ascii="Cambria" w:hAnsi="Cambria"/>
                <w:b/>
                <w:bCs/>
                <w:color w:val="000000" w:themeColor="text1"/>
                <w:sz w:val="20"/>
                <w:szCs w:val="20"/>
              </w:rPr>
              <w:t>Artículo 50. Tarifas del impuesto al consumo de licores, vinos aperitivos y similares</w:t>
            </w:r>
            <w:bookmarkEnd w:id="59"/>
            <w:r>
              <w:rPr>
                <w:rFonts w:ascii="Cambria" w:hAnsi="Cambria"/>
                <w:b/>
                <w:bCs/>
                <w:color w:val="BE9E55"/>
                <w:sz w:val="20"/>
                <w:szCs w:val="20"/>
              </w:rPr>
              <w:t>.</w:t>
            </w:r>
            <w:r w:rsidRPr="004E245C">
              <w:rPr>
                <w:rFonts w:ascii="Cambria" w:hAnsi="Cambria"/>
                <w:sz w:val="20"/>
                <w:szCs w:val="20"/>
              </w:rPr>
              <w:t xml:space="preserve"> </w:t>
            </w:r>
            <w:r w:rsidRPr="004E245C">
              <w:rPr>
                <w:rFonts w:ascii="Cambria" w:hAnsi="Cambria"/>
                <w:sz w:val="20"/>
                <w:szCs w:val="20"/>
                <w:highlight w:val="yellow"/>
              </w:rPr>
              <w:t>A partir del 1o de enero de 2017</w:t>
            </w:r>
            <w:r w:rsidRPr="004E245C">
              <w:rPr>
                <w:rFonts w:ascii="Cambria" w:hAnsi="Cambria"/>
                <w:sz w:val="20"/>
                <w:szCs w:val="20"/>
              </w:rPr>
              <w:t xml:space="preserve">, el impuesto al consumo de licores, vinos, aperitivos y similares </w:t>
            </w:r>
            <w:r w:rsidRPr="004E245C">
              <w:rPr>
                <w:rFonts w:ascii="Cambria" w:hAnsi="Cambria"/>
                <w:sz w:val="20"/>
                <w:szCs w:val="20"/>
                <w:highlight w:val="yellow"/>
              </w:rPr>
              <w:t>se liquidará así:</w:t>
            </w:r>
          </w:p>
          <w:p w:rsidR="004E245C" w:rsidRP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 xml:space="preserve">1. Componente Específico. La tarifa del componente específico del impuesto al consumo de licores, aperitivos y similares por cada grado </w:t>
            </w:r>
            <w:proofErr w:type="spellStart"/>
            <w:r w:rsidRPr="004E245C">
              <w:rPr>
                <w:rFonts w:ascii="Cambria" w:hAnsi="Cambria"/>
                <w:sz w:val="20"/>
                <w:szCs w:val="20"/>
              </w:rPr>
              <w:t>alcoholimétrico</w:t>
            </w:r>
            <w:proofErr w:type="spellEnd"/>
            <w:r w:rsidRPr="004E245C">
              <w:rPr>
                <w:rFonts w:ascii="Cambria" w:hAnsi="Cambria"/>
                <w:sz w:val="20"/>
                <w:szCs w:val="20"/>
              </w:rPr>
              <w:t xml:space="preserve"> en unidad de 750 centímetros cúbicos o su equivalente, </w:t>
            </w:r>
            <w:r w:rsidRPr="004E245C">
              <w:rPr>
                <w:rFonts w:ascii="Cambria" w:hAnsi="Cambria"/>
                <w:sz w:val="20"/>
                <w:szCs w:val="20"/>
                <w:highlight w:val="yellow"/>
              </w:rPr>
              <w:t>será de $22</w:t>
            </w:r>
            <w:r w:rsidRPr="004E245C">
              <w:rPr>
                <w:rFonts w:ascii="Cambria" w:hAnsi="Cambria"/>
                <w:sz w:val="20"/>
                <w:szCs w:val="20"/>
              </w:rPr>
              <w:t xml:space="preserve">0. </w:t>
            </w:r>
            <w:r w:rsidRPr="004E245C">
              <w:rPr>
                <w:rFonts w:ascii="Cambria" w:hAnsi="Cambria"/>
                <w:sz w:val="20"/>
                <w:szCs w:val="20"/>
                <w:highlight w:val="yellow"/>
              </w:rPr>
              <w:t>La tarifa aplicable para vinos y aperitivos vínicos será de $150 en unidad de 750 centímetros cúbicos o su equivalente.</w:t>
            </w: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r w:rsidRPr="004E245C">
              <w:rPr>
                <w:rFonts w:ascii="Cambria" w:hAnsi="Cambria"/>
                <w:sz w:val="20"/>
                <w:szCs w:val="20"/>
              </w:rPr>
              <w:t xml:space="preserve">2. Componente ad </w:t>
            </w:r>
            <w:proofErr w:type="spellStart"/>
            <w:r w:rsidRPr="004E245C">
              <w:rPr>
                <w:rFonts w:ascii="Cambria" w:hAnsi="Cambria"/>
                <w:sz w:val="20"/>
                <w:szCs w:val="20"/>
              </w:rPr>
              <w:t>valórem</w:t>
            </w:r>
            <w:proofErr w:type="spellEnd"/>
            <w:r w:rsidRPr="004E245C">
              <w:rPr>
                <w:rFonts w:ascii="Cambria" w:hAnsi="Cambria"/>
                <w:sz w:val="20"/>
                <w:szCs w:val="20"/>
              </w:rPr>
              <w:t xml:space="preserve">. El componente ad </w:t>
            </w:r>
            <w:proofErr w:type="spellStart"/>
            <w:r w:rsidRPr="004E245C">
              <w:rPr>
                <w:rFonts w:ascii="Cambria" w:hAnsi="Cambria"/>
                <w:sz w:val="20"/>
                <w:szCs w:val="20"/>
              </w:rPr>
              <w:t>valórem</w:t>
            </w:r>
            <w:proofErr w:type="spellEnd"/>
            <w:r w:rsidRPr="004E245C">
              <w:rPr>
                <w:rFonts w:ascii="Cambria" w:hAnsi="Cambria"/>
                <w:sz w:val="20"/>
                <w:szCs w:val="20"/>
              </w:rPr>
              <w:t xml:space="preserve"> del impuesto al consumo de licores, aperitivos y similares, se liquidará aplicando una tarifa </w:t>
            </w:r>
            <w:r w:rsidRPr="004E245C">
              <w:rPr>
                <w:rFonts w:ascii="Cambria" w:hAnsi="Cambria"/>
                <w:sz w:val="20"/>
                <w:szCs w:val="20"/>
                <w:highlight w:val="yellow"/>
              </w:rPr>
              <w:t>del 25%</w:t>
            </w:r>
            <w:r w:rsidRPr="004E245C">
              <w:rPr>
                <w:rFonts w:ascii="Cambria" w:hAnsi="Cambria"/>
                <w:sz w:val="20"/>
                <w:szCs w:val="20"/>
              </w:rPr>
              <w:t xml:space="preserve"> </w:t>
            </w:r>
            <w:r w:rsidRPr="004E245C">
              <w:rPr>
                <w:rFonts w:ascii="Cambria" w:hAnsi="Cambria"/>
                <w:sz w:val="20"/>
                <w:szCs w:val="20"/>
                <w:highlight w:val="yellow"/>
              </w:rPr>
              <w:t>sobre el precio de venta al público, antes de impuestos y/o participación, certificado por el DANE. La tarifa aplicable para vinos y aperitivos vínicos será del 20% sobre el precio de venta al público sin incluir los impuestos, certificado por el DANE</w:t>
            </w:r>
            <w:r w:rsidRPr="004E245C">
              <w:rPr>
                <w:rFonts w:ascii="Cambria" w:hAnsi="Cambria"/>
                <w:sz w:val="20"/>
                <w:szCs w:val="20"/>
              </w:rPr>
              <w:t>.</w:t>
            </w:r>
          </w:p>
          <w:p w:rsidR="004E245C" w:rsidRDefault="004E245C" w:rsidP="004E245C">
            <w:pPr>
              <w:jc w:val="both"/>
              <w:rPr>
                <w:rStyle w:val="baj"/>
                <w:rFonts w:ascii="Cambria" w:hAnsi="Cambria" w:cs="Open Sans"/>
                <w:b/>
                <w:bCs/>
                <w:color w:val="000000"/>
                <w:sz w:val="20"/>
                <w:szCs w:val="20"/>
              </w:rPr>
            </w:pPr>
          </w:p>
          <w:p w:rsidR="004E245C" w:rsidRPr="004E245C" w:rsidRDefault="004E245C" w:rsidP="004E245C">
            <w:pPr>
              <w:jc w:val="both"/>
              <w:rPr>
                <w:rFonts w:ascii="Cambria" w:hAnsi="Cambria"/>
                <w:sz w:val="20"/>
                <w:szCs w:val="20"/>
              </w:rPr>
            </w:pPr>
            <w:r w:rsidRPr="004E245C">
              <w:rPr>
                <w:rStyle w:val="baj"/>
                <w:rFonts w:ascii="Cambria" w:hAnsi="Cambria" w:cs="Open Sans"/>
                <w:b/>
                <w:bCs/>
                <w:color w:val="000000"/>
                <w:sz w:val="20"/>
                <w:szCs w:val="20"/>
              </w:rPr>
              <w:t>PARÁGRAFO 1o.</w:t>
            </w:r>
            <w:r w:rsidRPr="004E245C">
              <w:rPr>
                <w:rFonts w:ascii="Cambria" w:hAnsi="Cambria"/>
                <w:sz w:val="20"/>
                <w:szCs w:val="20"/>
              </w:rPr>
              <w:t> </w:t>
            </w:r>
            <w:r w:rsidRPr="004E245C">
              <w:rPr>
                <w:rFonts w:ascii="Cambria" w:hAnsi="Cambria"/>
                <w:sz w:val="20"/>
                <w:szCs w:val="20"/>
                <w:highlight w:val="yellow"/>
              </w:rPr>
              <w:t>Tarifas en el departamento Archipiélago de San Andrés, Providencia y Santa Catalina</w:t>
            </w:r>
            <w:r w:rsidRPr="004E245C">
              <w:rPr>
                <w:rFonts w:ascii="Cambria" w:hAnsi="Cambria"/>
                <w:sz w:val="20"/>
                <w:szCs w:val="20"/>
              </w:rPr>
              <w:t xml:space="preserve">. El impuesto al consumo de que trata la presente ley no aplica a los productos extranjeros que se importen al territorio del Departamento Archipiélago de San Andrés, Providencia y Santa Catalina, salvo que estos sean posteriormente introducidos al resto del territorio nacional, evento en el cual se causará el impuesto, por lo </w:t>
            </w:r>
            <w:r w:rsidRPr="004E245C">
              <w:rPr>
                <w:rFonts w:ascii="Cambria" w:hAnsi="Cambria"/>
                <w:sz w:val="20"/>
                <w:szCs w:val="20"/>
              </w:rPr>
              <w:lastRenderedPageBreak/>
              <w:t>cual, el responsable previo a su envío, deberá presentar la declaración y pagar el impuesto ante el Fondo Cuenta de Impuestos al Consumo de Productos Extranjeros, aplicando la tarifa y base general señalada para el resto del país.</w:t>
            </w:r>
          </w:p>
          <w:p w:rsid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 xml:space="preserve">Para los productos nacionales que ingresen para consumo al departamento Archipiélago de San Andrés, Providencia y Santa Catalina, por cada unidad de 750 centímetros cúbicos o su equivalente, solamente se liquidará la tarifa treinta y cinco ($35,00) por cada grado </w:t>
            </w:r>
            <w:proofErr w:type="spellStart"/>
            <w:r w:rsidRPr="004E245C">
              <w:rPr>
                <w:rFonts w:ascii="Cambria" w:hAnsi="Cambria"/>
                <w:sz w:val="20"/>
                <w:szCs w:val="20"/>
              </w:rPr>
              <w:t>alcoholimétrico</w:t>
            </w:r>
            <w:proofErr w:type="spellEnd"/>
            <w:r w:rsidRPr="004E245C">
              <w:rPr>
                <w:rFonts w:ascii="Cambria" w:hAnsi="Cambria"/>
                <w:sz w:val="20"/>
                <w:szCs w:val="20"/>
              </w:rPr>
              <w:t>.</w:t>
            </w:r>
          </w:p>
          <w:p w:rsid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Los productos que se despachen al departamento deberán llevar grabado en un lugar visible del envase y la etiqueta y en caracteres legibles e indelebles, la siguiente leyenda: “Para consumo exclusivo en el departamento Archipiélago de San Andrés, Providencia y Santa Catalina”, y no podrán ser objeto de reenvío al resto del país.</w:t>
            </w:r>
          </w:p>
          <w:p w:rsid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Los productores nacionales y los distribuidores seguirán respondiendo ante el departamento de origen por los productos que envíen al Archipiélago, hasta tanto se demuestre con la tornaguía respectiva, guía aérea o documento de embarque, que el producto ingresó al mismo.</w:t>
            </w:r>
          </w:p>
          <w:p w:rsidR="004E245C" w:rsidRDefault="004E245C" w:rsidP="004E245C">
            <w:pPr>
              <w:jc w:val="both"/>
              <w:rPr>
                <w:rStyle w:val="baj"/>
                <w:rFonts w:ascii="Cambria" w:hAnsi="Cambria" w:cs="Open Sans"/>
                <w:b/>
                <w:bCs/>
                <w:color w:val="000000"/>
                <w:sz w:val="20"/>
                <w:szCs w:val="20"/>
              </w:rPr>
            </w:pPr>
          </w:p>
          <w:p w:rsidR="004E245C" w:rsidRPr="004E245C" w:rsidRDefault="004E245C" w:rsidP="004E245C">
            <w:pPr>
              <w:jc w:val="both"/>
              <w:rPr>
                <w:rFonts w:ascii="Cambria" w:hAnsi="Cambria"/>
                <w:sz w:val="20"/>
                <w:szCs w:val="20"/>
              </w:rPr>
            </w:pPr>
            <w:r w:rsidRPr="004E245C">
              <w:rPr>
                <w:rStyle w:val="baj"/>
                <w:rFonts w:ascii="Cambria" w:hAnsi="Cambria" w:cs="Open Sans"/>
                <w:b/>
                <w:bCs/>
                <w:color w:val="000000"/>
                <w:sz w:val="20"/>
                <w:szCs w:val="20"/>
              </w:rPr>
              <w:t>PARÁGRAFO 2o.</w:t>
            </w:r>
            <w:r w:rsidRPr="004E245C">
              <w:rPr>
                <w:rFonts w:ascii="Cambria" w:hAnsi="Cambria"/>
                <w:sz w:val="20"/>
                <w:szCs w:val="20"/>
              </w:rPr>
              <w:t> Todos los licores, vinos, aperitivos y similares, que se despachen en los Depósitos Francos autorizados por la Dirección de Impuestos y Aduanas Nacionales (DIAN), y los destinados a la exportación y zonas libres y especiales deberán llevar grabado en un lugar visible del envase y la etiqueta y en caracteres legibles e indelebles la siguiente leyenda: “Para exportación”.</w:t>
            </w:r>
          </w:p>
          <w:p w:rsidR="004E245C" w:rsidRDefault="004E245C" w:rsidP="004E245C">
            <w:pPr>
              <w:jc w:val="both"/>
              <w:rPr>
                <w:rStyle w:val="baj"/>
                <w:rFonts w:ascii="Cambria" w:hAnsi="Cambria" w:cs="Open Sans"/>
                <w:b/>
                <w:bCs/>
                <w:color w:val="000000"/>
                <w:sz w:val="20"/>
                <w:szCs w:val="20"/>
              </w:rPr>
            </w:pPr>
          </w:p>
          <w:p w:rsidR="004E245C" w:rsidRPr="004E245C" w:rsidRDefault="004E245C" w:rsidP="004E245C">
            <w:pPr>
              <w:jc w:val="both"/>
              <w:rPr>
                <w:rFonts w:ascii="Cambria" w:hAnsi="Cambria"/>
                <w:sz w:val="20"/>
                <w:szCs w:val="20"/>
              </w:rPr>
            </w:pPr>
            <w:r w:rsidRPr="004E245C">
              <w:rPr>
                <w:rStyle w:val="baj"/>
                <w:rFonts w:ascii="Cambria" w:hAnsi="Cambria" w:cs="Open Sans"/>
                <w:b/>
                <w:bCs/>
                <w:color w:val="000000"/>
                <w:sz w:val="20"/>
                <w:szCs w:val="20"/>
              </w:rPr>
              <w:t>PARÁGRAFO 3o.</w:t>
            </w:r>
            <w:r w:rsidRPr="004E245C">
              <w:rPr>
                <w:rFonts w:ascii="Cambria" w:hAnsi="Cambria"/>
                <w:sz w:val="20"/>
                <w:szCs w:val="20"/>
              </w:rPr>
              <w:t> Cuando los productos objeto de impuesto al consumo tengan volúmenes diferentes a 750 centímetros cúbicos, se liquidará el impuesto proporcionalmente y se aproximará al peso más cercano.</w:t>
            </w:r>
          </w:p>
          <w:p w:rsidR="004E245C" w:rsidRDefault="004E245C" w:rsidP="004E245C">
            <w:pPr>
              <w:jc w:val="both"/>
              <w:rPr>
                <w:rStyle w:val="baj"/>
                <w:rFonts w:ascii="Cambria" w:hAnsi="Cambria" w:cs="Open Sans"/>
                <w:b/>
                <w:bCs/>
                <w:color w:val="000000"/>
                <w:sz w:val="20"/>
                <w:szCs w:val="20"/>
              </w:rPr>
            </w:pPr>
          </w:p>
          <w:p w:rsidR="004E245C" w:rsidRPr="004E245C" w:rsidRDefault="004E245C" w:rsidP="004E245C">
            <w:pPr>
              <w:jc w:val="both"/>
              <w:rPr>
                <w:rFonts w:ascii="Cambria" w:hAnsi="Cambria"/>
                <w:sz w:val="20"/>
                <w:szCs w:val="20"/>
              </w:rPr>
            </w:pPr>
            <w:r w:rsidRPr="004E245C">
              <w:rPr>
                <w:rStyle w:val="baj"/>
                <w:rFonts w:ascii="Cambria" w:hAnsi="Cambria" w:cs="Open Sans"/>
                <w:b/>
                <w:bCs/>
                <w:color w:val="000000"/>
                <w:sz w:val="20"/>
                <w:szCs w:val="20"/>
              </w:rPr>
              <w:t>PARÁGRAFO 4o.</w:t>
            </w:r>
            <w:r w:rsidRPr="004E245C">
              <w:rPr>
                <w:rFonts w:ascii="Cambria" w:hAnsi="Cambria"/>
                <w:sz w:val="20"/>
                <w:szCs w:val="20"/>
              </w:rPr>
              <w:t xml:space="preserve"> Las tarifas del componente específico se incrementarán a partir del primero (1o) de enero </w:t>
            </w:r>
            <w:r w:rsidRPr="004E245C">
              <w:rPr>
                <w:rFonts w:ascii="Cambria" w:hAnsi="Cambria"/>
                <w:sz w:val="20"/>
                <w:szCs w:val="20"/>
                <w:highlight w:val="yellow"/>
              </w:rPr>
              <w:t>del año 2018</w:t>
            </w:r>
            <w:r w:rsidRPr="004E245C">
              <w:rPr>
                <w:rFonts w:ascii="Cambria" w:hAnsi="Cambria"/>
                <w:sz w:val="20"/>
                <w:szCs w:val="20"/>
              </w:rPr>
              <w:t>, con la variación anual del índice de precios al consumidor certificado por el DANE al 30 de noviembre y el resultado se aproximará al peso más cercano. La Dirección de Apoyo Fiscal del Ministerio de Hacienda y Crédito Público certificará y publicará antes del 1o de enero de cada año, las tarifas así indexadas.</w:t>
            </w:r>
          </w:p>
          <w:p w:rsidR="004E245C" w:rsidRPr="004E245C" w:rsidRDefault="004E245C" w:rsidP="004E245C">
            <w:pPr>
              <w:jc w:val="both"/>
              <w:rPr>
                <w:rFonts w:ascii="Cambria" w:hAnsi="Cambria"/>
                <w:sz w:val="20"/>
                <w:szCs w:val="20"/>
              </w:rPr>
            </w:pPr>
          </w:p>
          <w:p w:rsidR="009E279D" w:rsidRPr="004E245C" w:rsidRDefault="009E279D" w:rsidP="004E245C">
            <w:pPr>
              <w:jc w:val="both"/>
              <w:rPr>
                <w:rFonts w:ascii="Cambria" w:hAnsi="Cambria"/>
                <w:sz w:val="20"/>
                <w:szCs w:val="20"/>
                <w:lang w:val="es-ES"/>
              </w:rPr>
            </w:pPr>
          </w:p>
        </w:tc>
        <w:tc>
          <w:tcPr>
            <w:tcW w:w="4414" w:type="dxa"/>
          </w:tcPr>
          <w:p w:rsidR="004E245C" w:rsidRPr="004E245C" w:rsidRDefault="004E245C" w:rsidP="004E245C">
            <w:pPr>
              <w:jc w:val="both"/>
              <w:rPr>
                <w:rFonts w:ascii="Cambria" w:hAnsi="Cambria"/>
                <w:sz w:val="20"/>
                <w:szCs w:val="20"/>
              </w:rPr>
            </w:pPr>
            <w:r w:rsidRPr="004E245C">
              <w:rPr>
                <w:rFonts w:ascii="Cambria" w:hAnsi="Cambria"/>
                <w:b/>
                <w:bCs/>
                <w:sz w:val="20"/>
                <w:szCs w:val="20"/>
              </w:rPr>
              <w:lastRenderedPageBreak/>
              <w:t>Artículo 50. Tarifas</w:t>
            </w:r>
            <w:r>
              <w:rPr>
                <w:rFonts w:ascii="Cambria" w:hAnsi="Cambria"/>
                <w:b/>
                <w:bCs/>
                <w:sz w:val="20"/>
                <w:szCs w:val="20"/>
              </w:rPr>
              <w:t xml:space="preserve"> </w:t>
            </w:r>
            <w:r w:rsidRPr="00EE3358">
              <w:rPr>
                <w:rFonts w:ascii="Cambria" w:hAnsi="Cambria"/>
                <w:b/>
                <w:bCs/>
                <w:color w:val="FF0000"/>
                <w:sz w:val="20"/>
                <w:szCs w:val="20"/>
              </w:rPr>
              <w:t>(</w:t>
            </w:r>
            <w:r>
              <w:rPr>
                <w:rFonts w:ascii="Cambria" w:hAnsi="Cambria"/>
                <w:b/>
                <w:bCs/>
                <w:color w:val="FF0000"/>
                <w:sz w:val="20"/>
                <w:szCs w:val="20"/>
              </w:rPr>
              <w:t>m</w:t>
            </w:r>
            <w:r w:rsidRPr="00EE3358">
              <w:rPr>
                <w:rFonts w:ascii="Cambria" w:hAnsi="Cambria"/>
                <w:b/>
                <w:bCs/>
                <w:color w:val="FF0000"/>
                <w:sz w:val="20"/>
                <w:szCs w:val="20"/>
              </w:rPr>
              <w:t xml:space="preserve">odificado </w:t>
            </w:r>
            <w:r w:rsidRPr="00FB31CB">
              <w:rPr>
                <w:rFonts w:ascii="Cambria" w:hAnsi="Cambria"/>
                <w:b/>
                <w:bCs/>
                <w:color w:val="FF0000"/>
                <w:sz w:val="20"/>
                <w:szCs w:val="20"/>
              </w:rPr>
              <w:t xml:space="preserve">con artículos </w:t>
            </w:r>
            <w:r>
              <w:rPr>
                <w:rFonts w:ascii="Cambria" w:hAnsi="Cambria"/>
                <w:b/>
                <w:bCs/>
                <w:color w:val="FF0000"/>
                <w:sz w:val="20"/>
                <w:szCs w:val="20"/>
              </w:rPr>
              <w:t>38</w:t>
            </w:r>
            <w:r w:rsidRPr="00FB31CB">
              <w:rPr>
                <w:rFonts w:ascii="Cambria" w:hAnsi="Cambria"/>
                <w:b/>
                <w:bCs/>
                <w:color w:val="FF0000"/>
                <w:sz w:val="20"/>
                <w:szCs w:val="20"/>
              </w:rPr>
              <w:t xml:space="preserve"> y 95 del proyecto de </w:t>
            </w:r>
            <w:r w:rsidR="00852E78">
              <w:rPr>
                <w:rFonts w:ascii="Cambria" w:hAnsi="Cambria"/>
                <w:b/>
                <w:bCs/>
                <w:color w:val="FF0000"/>
                <w:sz w:val="20"/>
                <w:szCs w:val="20"/>
              </w:rPr>
              <w:t>Ley septiembre de 2025</w:t>
            </w:r>
            <w:r w:rsidRPr="00BB2D7C">
              <w:rPr>
                <w:rFonts w:ascii="Cambria" w:hAnsi="Cambria"/>
                <w:b/>
                <w:bCs/>
                <w:color w:val="FF0000"/>
                <w:sz w:val="20"/>
                <w:szCs w:val="20"/>
                <w:highlight w:val="yellow"/>
              </w:rPr>
              <w:t>)</w:t>
            </w:r>
            <w:r w:rsidRPr="004E245C">
              <w:rPr>
                <w:rFonts w:ascii="Cambria" w:hAnsi="Cambria"/>
                <w:b/>
                <w:bCs/>
                <w:sz w:val="20"/>
                <w:szCs w:val="20"/>
              </w:rPr>
              <w:t xml:space="preserve">. </w:t>
            </w:r>
            <w:r w:rsidRPr="004E245C">
              <w:rPr>
                <w:rFonts w:ascii="Cambria" w:hAnsi="Cambria"/>
                <w:sz w:val="20"/>
                <w:szCs w:val="20"/>
                <w:highlight w:val="yellow"/>
              </w:rPr>
              <w:t>Las tarifas</w:t>
            </w:r>
            <w:r w:rsidRPr="004E245C">
              <w:rPr>
                <w:rFonts w:ascii="Cambria" w:hAnsi="Cambria"/>
                <w:sz w:val="20"/>
                <w:szCs w:val="20"/>
              </w:rPr>
              <w:t xml:space="preserve"> del impuesto al consumo de licores, vinos, aperitivos y similares </w:t>
            </w:r>
            <w:r w:rsidRPr="004E245C">
              <w:rPr>
                <w:rFonts w:ascii="Cambria" w:hAnsi="Cambria"/>
                <w:sz w:val="20"/>
                <w:szCs w:val="20"/>
                <w:highlight w:val="yellow"/>
              </w:rPr>
              <w:t>son las siguientes</w:t>
            </w:r>
            <w:r w:rsidRPr="004E245C">
              <w:rPr>
                <w:rFonts w:ascii="Cambria" w:hAnsi="Cambria"/>
                <w:sz w:val="20"/>
                <w:szCs w:val="20"/>
              </w:rPr>
              <w:t xml:space="preserve">: </w:t>
            </w: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 xml:space="preserve">1. Componente Específico. La tarifa del componente específico del impuesto al consumo de licores, vinos, aperitivos y similares por cada grado </w:t>
            </w:r>
            <w:proofErr w:type="spellStart"/>
            <w:r w:rsidRPr="004E245C">
              <w:rPr>
                <w:rFonts w:ascii="Cambria" w:hAnsi="Cambria"/>
                <w:sz w:val="20"/>
                <w:szCs w:val="20"/>
              </w:rPr>
              <w:t>alcoholimétrico</w:t>
            </w:r>
            <w:proofErr w:type="spellEnd"/>
            <w:r w:rsidRPr="004E245C">
              <w:rPr>
                <w:rFonts w:ascii="Cambria" w:hAnsi="Cambria"/>
                <w:sz w:val="20"/>
                <w:szCs w:val="20"/>
              </w:rPr>
              <w:t xml:space="preserve"> en unidad de 750 centímetros cúbicos o su equivalente, será de $</w:t>
            </w:r>
            <w:r w:rsidRPr="004E245C">
              <w:rPr>
                <w:rFonts w:ascii="Cambria" w:hAnsi="Cambria"/>
                <w:sz w:val="20"/>
                <w:szCs w:val="20"/>
                <w:highlight w:val="yellow"/>
              </w:rPr>
              <w:t>750.</w:t>
            </w:r>
            <w:r w:rsidRPr="004E245C">
              <w:rPr>
                <w:rFonts w:ascii="Cambria" w:hAnsi="Cambria"/>
                <w:sz w:val="20"/>
                <w:szCs w:val="20"/>
              </w:rPr>
              <w:t xml:space="preserve"> </w:t>
            </w: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p>
          <w:p w:rsidR="004E245C" w:rsidRPr="004E245C" w:rsidRDefault="004E245C" w:rsidP="004E245C">
            <w:pPr>
              <w:jc w:val="both"/>
              <w:rPr>
                <w:rFonts w:ascii="Cambria" w:hAnsi="Cambria"/>
                <w:sz w:val="20"/>
                <w:szCs w:val="20"/>
              </w:rPr>
            </w:pPr>
            <w:r w:rsidRPr="004E245C">
              <w:rPr>
                <w:rFonts w:ascii="Cambria" w:hAnsi="Cambria"/>
                <w:sz w:val="20"/>
                <w:szCs w:val="20"/>
              </w:rPr>
              <w:t xml:space="preserve">2. Componente ad </w:t>
            </w:r>
            <w:proofErr w:type="spellStart"/>
            <w:r w:rsidRPr="004E245C">
              <w:rPr>
                <w:rFonts w:ascii="Cambria" w:hAnsi="Cambria"/>
                <w:sz w:val="20"/>
                <w:szCs w:val="20"/>
              </w:rPr>
              <w:t>valorem</w:t>
            </w:r>
            <w:proofErr w:type="spellEnd"/>
            <w:r w:rsidRPr="004E245C">
              <w:rPr>
                <w:rFonts w:ascii="Cambria" w:hAnsi="Cambria"/>
                <w:sz w:val="20"/>
                <w:szCs w:val="20"/>
              </w:rPr>
              <w:t xml:space="preserve">. La tarifa del componente ad </w:t>
            </w:r>
            <w:proofErr w:type="spellStart"/>
            <w:r w:rsidRPr="004E245C">
              <w:rPr>
                <w:rFonts w:ascii="Cambria" w:hAnsi="Cambria"/>
                <w:sz w:val="20"/>
                <w:szCs w:val="20"/>
              </w:rPr>
              <w:t>valorem</w:t>
            </w:r>
            <w:proofErr w:type="spellEnd"/>
            <w:r w:rsidRPr="004E245C">
              <w:rPr>
                <w:rFonts w:ascii="Cambria" w:hAnsi="Cambria"/>
                <w:sz w:val="20"/>
                <w:szCs w:val="20"/>
              </w:rPr>
              <w:t xml:space="preserve"> del impuesto al consumo de licores, vinos, aperitivos y similares, será del </w:t>
            </w:r>
            <w:r w:rsidRPr="004E245C">
              <w:rPr>
                <w:rFonts w:ascii="Cambria" w:hAnsi="Cambria"/>
                <w:sz w:val="20"/>
                <w:szCs w:val="20"/>
                <w:highlight w:val="yellow"/>
              </w:rPr>
              <w:t>30%.</w:t>
            </w:r>
            <w:r w:rsidRPr="004E245C">
              <w:rPr>
                <w:rFonts w:ascii="Cambria" w:hAnsi="Cambria"/>
                <w:sz w:val="20"/>
                <w:szCs w:val="20"/>
              </w:rPr>
              <w:t xml:space="preserve"> </w:t>
            </w:r>
          </w:p>
          <w:p w:rsidR="004E245C" w:rsidRDefault="004E245C" w:rsidP="004E245C">
            <w:pPr>
              <w:jc w:val="both"/>
              <w:rPr>
                <w:rFonts w:ascii="Cambria" w:hAnsi="Cambria"/>
                <w:b/>
                <w:bCs/>
                <w:sz w:val="20"/>
                <w:szCs w:val="20"/>
              </w:rPr>
            </w:pPr>
          </w:p>
          <w:p w:rsidR="004E245C" w:rsidRDefault="004E245C" w:rsidP="004E245C">
            <w:pPr>
              <w:jc w:val="both"/>
              <w:rPr>
                <w:rFonts w:ascii="Cambria" w:hAnsi="Cambria"/>
                <w:b/>
                <w:bCs/>
                <w:sz w:val="20"/>
                <w:szCs w:val="20"/>
              </w:rPr>
            </w:pPr>
          </w:p>
          <w:p w:rsidR="004E245C" w:rsidRDefault="004E245C" w:rsidP="004E245C">
            <w:pPr>
              <w:jc w:val="both"/>
              <w:rPr>
                <w:rFonts w:ascii="Cambria" w:hAnsi="Cambria"/>
                <w:b/>
                <w:bCs/>
                <w:sz w:val="20"/>
                <w:szCs w:val="20"/>
              </w:rPr>
            </w:pPr>
          </w:p>
          <w:p w:rsidR="004E245C" w:rsidRDefault="004E245C" w:rsidP="004E245C">
            <w:pPr>
              <w:jc w:val="both"/>
              <w:rPr>
                <w:rFonts w:ascii="Cambria" w:hAnsi="Cambria"/>
                <w:b/>
                <w:bCs/>
                <w:sz w:val="20"/>
                <w:szCs w:val="20"/>
              </w:rPr>
            </w:pPr>
          </w:p>
          <w:p w:rsidR="004E245C" w:rsidRDefault="004E245C" w:rsidP="004E245C">
            <w:pPr>
              <w:jc w:val="both"/>
              <w:rPr>
                <w:rFonts w:ascii="Cambria" w:hAnsi="Cambria"/>
                <w:b/>
                <w:bCs/>
                <w:sz w:val="20"/>
                <w:szCs w:val="20"/>
              </w:rPr>
            </w:pPr>
          </w:p>
          <w:p w:rsidR="004E245C" w:rsidRDefault="004E245C" w:rsidP="004E245C">
            <w:pPr>
              <w:jc w:val="both"/>
              <w:rPr>
                <w:rFonts w:ascii="Cambria" w:hAnsi="Cambria"/>
                <w:b/>
                <w:bCs/>
                <w:sz w:val="20"/>
                <w:szCs w:val="20"/>
              </w:rPr>
            </w:pPr>
          </w:p>
          <w:p w:rsidR="004E245C" w:rsidRPr="004E245C" w:rsidRDefault="004E245C" w:rsidP="004E245C">
            <w:pPr>
              <w:jc w:val="both"/>
              <w:rPr>
                <w:rFonts w:ascii="Cambria" w:hAnsi="Cambria"/>
                <w:sz w:val="20"/>
                <w:szCs w:val="20"/>
              </w:rPr>
            </w:pPr>
            <w:r w:rsidRPr="004E245C">
              <w:rPr>
                <w:rFonts w:ascii="Cambria" w:hAnsi="Cambria"/>
                <w:b/>
                <w:bCs/>
                <w:sz w:val="20"/>
                <w:szCs w:val="20"/>
              </w:rPr>
              <w:t xml:space="preserve">Parágrafo 1. </w:t>
            </w:r>
            <w:r w:rsidRPr="004E245C">
              <w:rPr>
                <w:rFonts w:ascii="Cambria" w:hAnsi="Cambria"/>
                <w:sz w:val="20"/>
                <w:szCs w:val="20"/>
              </w:rPr>
              <w:t xml:space="preserve">El impuesto al consumo de que trata la presente ley no aplica a los productos extranjeros que se importen al territorio del Departamento Archipiélago de San Andrés, Providencia y Santa Catalina, salvo que estos sean posteriormente introducidos al resto del territorio nacional, evento en el cual se causará el impuesto, por lo cual, el responsable previo a su </w:t>
            </w:r>
            <w:r w:rsidRPr="004E245C">
              <w:rPr>
                <w:rFonts w:ascii="Cambria" w:hAnsi="Cambria"/>
                <w:sz w:val="20"/>
                <w:szCs w:val="20"/>
              </w:rPr>
              <w:lastRenderedPageBreak/>
              <w:t xml:space="preserve">envío, deberá presentar la declaración y pagar el impuesto ante el Fondo Cuenta de Impuestos al Consumo de Productos Extranjeros, aplicando la tarifa y base general señalada para el resto del país. </w:t>
            </w: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r w:rsidRPr="004E245C">
              <w:rPr>
                <w:rFonts w:ascii="Cambria" w:hAnsi="Cambria"/>
                <w:sz w:val="20"/>
                <w:szCs w:val="20"/>
              </w:rPr>
              <w:t xml:space="preserve">Para los productos nacionales que ingresen para consumo al departamento Archipiélago de San Andrés, Providencia y Santa Catalina, por cada unidad de 750 centímetros cúbicos o su equivalente, solamente se liquidará la tarifa treinta y cinco ($35,00) por cada grado </w:t>
            </w:r>
            <w:proofErr w:type="spellStart"/>
            <w:r w:rsidRPr="004E245C">
              <w:rPr>
                <w:rFonts w:ascii="Cambria" w:hAnsi="Cambria"/>
                <w:sz w:val="20"/>
                <w:szCs w:val="20"/>
              </w:rPr>
              <w:t>alcoholimétrico</w:t>
            </w:r>
            <w:proofErr w:type="spellEnd"/>
            <w:r w:rsidRPr="004E245C">
              <w:rPr>
                <w:rFonts w:ascii="Cambria" w:hAnsi="Cambria"/>
                <w:sz w:val="20"/>
                <w:szCs w:val="20"/>
              </w:rPr>
              <w:t xml:space="preserve">. </w:t>
            </w:r>
          </w:p>
          <w:p w:rsidR="004E245C" w:rsidRP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r w:rsidRPr="004E245C">
              <w:rPr>
                <w:rFonts w:ascii="Cambria" w:hAnsi="Cambria"/>
                <w:sz w:val="20"/>
                <w:szCs w:val="20"/>
              </w:rPr>
              <w:t xml:space="preserve">Los productos que se despachen al departamento deberán llevar grabado en un lugar visible del envase y la etiqueta y en caracteres legibles e indelebles, la siguiente leyenda: “Para consumo exclusivo en el departamento Archipiélago de San Andrés, Providencia y Santa Catalina”, y no podrán ser objeto de reenvío al resto del país. </w:t>
            </w:r>
          </w:p>
          <w:p w:rsidR="004E245C" w:rsidRP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r w:rsidRPr="004E245C">
              <w:rPr>
                <w:rFonts w:ascii="Cambria" w:hAnsi="Cambria"/>
                <w:sz w:val="20"/>
                <w:szCs w:val="20"/>
              </w:rPr>
              <w:t xml:space="preserve">Los productores nacionales y los distribuidores seguirán respondiendo ante el departamento de origen por los productos que envíen al Archipiélago, hasta tanto se demuestre con la tornaguía respectiva, guía aérea o documento de embarque, que el producto ingresó al mismo. </w:t>
            </w:r>
          </w:p>
          <w:p w:rsidR="004E245C" w:rsidRPr="004E245C" w:rsidRDefault="004E245C" w:rsidP="004E245C">
            <w:pPr>
              <w:jc w:val="both"/>
              <w:rPr>
                <w:rFonts w:ascii="Cambria" w:hAnsi="Cambria"/>
                <w:sz w:val="20"/>
                <w:szCs w:val="20"/>
              </w:rPr>
            </w:pPr>
          </w:p>
          <w:p w:rsidR="004E245C" w:rsidRPr="004E245C" w:rsidRDefault="004E245C" w:rsidP="004E245C">
            <w:pPr>
              <w:jc w:val="both"/>
              <w:rPr>
                <w:rFonts w:ascii="Cambria" w:hAnsi="Cambria" w:cs="Aptos"/>
                <w:sz w:val="20"/>
                <w:szCs w:val="20"/>
              </w:rPr>
            </w:pPr>
            <w:r w:rsidRPr="004E245C">
              <w:rPr>
                <w:rFonts w:ascii="Cambria" w:hAnsi="Cambria"/>
                <w:b/>
                <w:bCs/>
                <w:sz w:val="20"/>
                <w:szCs w:val="20"/>
              </w:rPr>
              <w:t xml:space="preserve">Parágrafo 2. </w:t>
            </w:r>
            <w:r w:rsidRPr="004E245C">
              <w:rPr>
                <w:rFonts w:ascii="Cambria" w:hAnsi="Cambria"/>
                <w:sz w:val="20"/>
                <w:szCs w:val="20"/>
              </w:rPr>
              <w:t xml:space="preserve">Todos los licores, vinos, aperitivos y similares, que se despachen en los Depósitos Francos autorizados por la Dirección de Impuestos y Aduanas Nacionales DIAN, y los destinados a la exportación y zonas libres y especiales deberán llevar grabado en un lugar visible del envase y la etiqueta y en caracteres legibles e indelebles la siguiente leyenda: “Para exportación”. </w:t>
            </w:r>
            <w:r w:rsidRPr="004E245C">
              <w:rPr>
                <w:rFonts w:ascii="Cambria" w:hAnsi="Cambria" w:cs="Aptos"/>
                <w:sz w:val="20"/>
                <w:szCs w:val="20"/>
              </w:rPr>
              <w:t xml:space="preserve"> </w:t>
            </w:r>
          </w:p>
          <w:p w:rsidR="004E245C" w:rsidRPr="004E245C" w:rsidRDefault="004E245C" w:rsidP="004E245C">
            <w:pPr>
              <w:jc w:val="both"/>
              <w:rPr>
                <w:rFonts w:ascii="Cambria" w:hAnsi="Cambria" w:cstheme="minorBidi"/>
                <w:sz w:val="20"/>
                <w:szCs w:val="20"/>
              </w:rPr>
            </w:pPr>
          </w:p>
          <w:p w:rsidR="004E245C" w:rsidRDefault="004E245C" w:rsidP="004E245C">
            <w:pPr>
              <w:jc w:val="both"/>
              <w:rPr>
                <w:rFonts w:ascii="Cambria" w:hAnsi="Cambria"/>
                <w:sz w:val="20"/>
                <w:szCs w:val="20"/>
              </w:rPr>
            </w:pPr>
            <w:r w:rsidRPr="004E245C">
              <w:rPr>
                <w:rFonts w:ascii="Cambria" w:hAnsi="Cambria" w:cstheme="minorBidi"/>
                <w:b/>
                <w:bCs/>
                <w:sz w:val="20"/>
                <w:szCs w:val="20"/>
              </w:rPr>
              <w:t xml:space="preserve">Parágrafo 3. </w:t>
            </w:r>
            <w:r w:rsidRPr="004E245C">
              <w:rPr>
                <w:rFonts w:ascii="Cambria" w:hAnsi="Cambria"/>
                <w:sz w:val="20"/>
                <w:szCs w:val="20"/>
              </w:rPr>
              <w:t xml:space="preserve">Cuando los productos objeto de impuesto al consumo tengan volúmenes diferentes a 750 centímetros cúbicos, se liquidará el impuesto proporcionalmente y se aproximará al peso más cercano. </w:t>
            </w:r>
          </w:p>
          <w:p w:rsidR="004E245C" w:rsidRPr="004E245C" w:rsidRDefault="004E245C" w:rsidP="004E245C">
            <w:pPr>
              <w:jc w:val="both"/>
              <w:rPr>
                <w:rFonts w:ascii="Cambria" w:hAnsi="Cambria"/>
                <w:sz w:val="20"/>
                <w:szCs w:val="20"/>
              </w:rPr>
            </w:pPr>
          </w:p>
          <w:p w:rsidR="004E245C" w:rsidRDefault="004E245C" w:rsidP="004E245C">
            <w:pPr>
              <w:jc w:val="both"/>
              <w:rPr>
                <w:rFonts w:ascii="Cambria" w:hAnsi="Cambria"/>
                <w:sz w:val="20"/>
                <w:szCs w:val="20"/>
              </w:rPr>
            </w:pPr>
            <w:r w:rsidRPr="004E245C">
              <w:rPr>
                <w:rFonts w:ascii="Cambria" w:hAnsi="Cambria"/>
                <w:b/>
                <w:bCs/>
                <w:sz w:val="20"/>
                <w:szCs w:val="20"/>
              </w:rPr>
              <w:t xml:space="preserve">Parágrafo 4. </w:t>
            </w:r>
            <w:r w:rsidRPr="004E245C">
              <w:rPr>
                <w:rFonts w:ascii="Cambria" w:hAnsi="Cambria"/>
                <w:sz w:val="20"/>
                <w:szCs w:val="20"/>
              </w:rPr>
              <w:t xml:space="preserve">Las tarifas del componente específico se incrementarán a partir del primero (1º) de enero </w:t>
            </w:r>
            <w:r w:rsidRPr="004E245C">
              <w:rPr>
                <w:rFonts w:ascii="Cambria" w:hAnsi="Cambria"/>
                <w:sz w:val="20"/>
                <w:szCs w:val="20"/>
                <w:highlight w:val="yellow"/>
              </w:rPr>
              <w:t>de cada año</w:t>
            </w:r>
            <w:r w:rsidRPr="004E245C">
              <w:rPr>
                <w:rFonts w:ascii="Cambria" w:hAnsi="Cambria"/>
                <w:sz w:val="20"/>
                <w:szCs w:val="20"/>
              </w:rPr>
              <w:t xml:space="preserve">, con la variación anual del índice de precios al consumidor certificado por el DANE al 30 de noviembre </w:t>
            </w:r>
            <w:r w:rsidRPr="004E245C">
              <w:rPr>
                <w:rFonts w:ascii="Cambria" w:hAnsi="Cambria"/>
                <w:sz w:val="20"/>
                <w:szCs w:val="20"/>
                <w:highlight w:val="yellow"/>
              </w:rPr>
              <w:t>más cuatro (4)</w:t>
            </w:r>
            <w:r w:rsidRPr="004E245C">
              <w:rPr>
                <w:rFonts w:ascii="Cambria" w:hAnsi="Cambria"/>
                <w:sz w:val="20"/>
                <w:szCs w:val="20"/>
              </w:rPr>
              <w:t xml:space="preserve"> </w:t>
            </w:r>
            <w:r w:rsidRPr="004E245C">
              <w:rPr>
                <w:rFonts w:ascii="Cambria" w:hAnsi="Cambria"/>
                <w:sz w:val="20"/>
                <w:szCs w:val="20"/>
                <w:highlight w:val="yellow"/>
              </w:rPr>
              <w:t>puntos</w:t>
            </w:r>
            <w:r w:rsidRPr="004E245C">
              <w:rPr>
                <w:rFonts w:ascii="Cambria" w:hAnsi="Cambria"/>
                <w:sz w:val="20"/>
                <w:szCs w:val="20"/>
              </w:rPr>
              <w:t xml:space="preserve"> y el resultado se aproximará al peso más cercano. La Dirección de Apoyo Fiscal del Ministerio de Hacienda y Crédito Público </w:t>
            </w:r>
            <w:r w:rsidRPr="004E245C">
              <w:rPr>
                <w:rFonts w:ascii="Cambria" w:hAnsi="Cambria"/>
                <w:sz w:val="20"/>
                <w:szCs w:val="20"/>
              </w:rPr>
              <w:lastRenderedPageBreak/>
              <w:t xml:space="preserve">certificará y publicará antes del 1º de enero de cada año, las tarifas así indexadas. </w:t>
            </w:r>
          </w:p>
          <w:p w:rsidR="004E245C" w:rsidRPr="004E245C" w:rsidRDefault="004E245C" w:rsidP="004E245C">
            <w:pPr>
              <w:jc w:val="both"/>
              <w:rPr>
                <w:rFonts w:ascii="Cambria" w:hAnsi="Cambria"/>
                <w:sz w:val="20"/>
                <w:szCs w:val="20"/>
              </w:rPr>
            </w:pPr>
          </w:p>
          <w:p w:rsidR="009E279D" w:rsidRDefault="004E245C" w:rsidP="004E245C">
            <w:pPr>
              <w:jc w:val="both"/>
              <w:rPr>
                <w:rFonts w:ascii="Cambria" w:hAnsi="Cambria"/>
                <w:sz w:val="20"/>
                <w:szCs w:val="20"/>
              </w:rPr>
            </w:pPr>
            <w:r w:rsidRPr="004E245C">
              <w:rPr>
                <w:rFonts w:ascii="Cambria" w:hAnsi="Cambria"/>
                <w:b/>
                <w:bCs/>
                <w:sz w:val="20"/>
                <w:szCs w:val="20"/>
              </w:rPr>
              <w:t xml:space="preserve">Parágrafo </w:t>
            </w:r>
            <w:r w:rsidRPr="004E245C">
              <w:rPr>
                <w:rFonts w:ascii="Cambria" w:hAnsi="Cambria"/>
                <w:b/>
                <w:bCs/>
                <w:sz w:val="20"/>
                <w:szCs w:val="20"/>
                <w:highlight w:val="yellow"/>
              </w:rPr>
              <w:t xml:space="preserve">5. </w:t>
            </w:r>
            <w:r w:rsidRPr="004E245C">
              <w:rPr>
                <w:rFonts w:ascii="Cambria" w:hAnsi="Cambria"/>
                <w:sz w:val="20"/>
                <w:szCs w:val="20"/>
                <w:highlight w:val="yellow"/>
              </w:rPr>
              <w:t>Los ingresos adicionales recaudados por efecto del aumento de este impuesto serán destinados a financiar el aseguramiento en salud.</w:t>
            </w:r>
            <w:r w:rsidRPr="004E245C">
              <w:rPr>
                <w:rFonts w:ascii="Cambria" w:hAnsi="Cambria"/>
                <w:sz w:val="20"/>
                <w:szCs w:val="20"/>
              </w:rPr>
              <w:t xml:space="preserve"> </w:t>
            </w:r>
          </w:p>
          <w:p w:rsidR="004E245C" w:rsidRPr="004E245C" w:rsidRDefault="004E245C" w:rsidP="004E245C">
            <w:pPr>
              <w:jc w:val="both"/>
              <w:rPr>
                <w:rFonts w:ascii="Cambria" w:hAnsi="Cambria"/>
                <w:sz w:val="20"/>
                <w:szCs w:val="20"/>
                <w:lang w:val="es-ES"/>
              </w:rPr>
            </w:pPr>
          </w:p>
        </w:tc>
      </w:tr>
    </w:tbl>
    <w:p w:rsidR="009E279D" w:rsidRDefault="009E279D" w:rsidP="009E279D"/>
    <w:p w:rsidR="00693B4F" w:rsidRDefault="00693B4F" w:rsidP="00693B4F">
      <w:pPr>
        <w:jc w:val="both"/>
        <w:rPr>
          <w:rFonts w:ascii="Calibri" w:hAnsi="Calibri"/>
          <w:b/>
          <w:color w:val="FF0000"/>
          <w:lang w:val="es-ES"/>
        </w:rPr>
      </w:pPr>
      <w:r w:rsidRPr="00693B4F">
        <w:rPr>
          <w:rFonts w:ascii="Calibri" w:hAnsi="Calibri"/>
          <w:b/>
          <w:color w:val="FF0000"/>
          <w:lang w:val="es-ES"/>
        </w:rPr>
        <w:t xml:space="preserve">Ley 962 de julio 8 de 2005 Por la cual se dictan disposiciones sobre racionalización de trámites y procedimientos administrativos de los organismos y entidades del Estado y de los particulares que ejercen funciones públicas o prestan servicios públicos. </w:t>
      </w:r>
    </w:p>
    <w:p w:rsidR="00693B4F" w:rsidRPr="00693B4F" w:rsidRDefault="00693B4F" w:rsidP="00693B4F">
      <w:pPr>
        <w:jc w:val="both"/>
        <w:rPr>
          <w:rFonts w:ascii="Calibri" w:hAnsi="Calibri"/>
          <w:b/>
          <w:color w:val="FF0000"/>
          <w:lang w:val="es-ES"/>
        </w:rPr>
      </w:pPr>
    </w:p>
    <w:tbl>
      <w:tblPr>
        <w:tblStyle w:val="Tablaconcuadrcula"/>
        <w:tblW w:w="0" w:type="auto"/>
        <w:tblLook w:val="04A0" w:firstRow="1" w:lastRow="0" w:firstColumn="1" w:lastColumn="0" w:noHBand="0" w:noVBand="1"/>
      </w:tblPr>
      <w:tblGrid>
        <w:gridCol w:w="4414"/>
        <w:gridCol w:w="4414"/>
      </w:tblGrid>
      <w:tr w:rsidR="00693B4F" w:rsidRPr="0065720A" w:rsidTr="0092734A">
        <w:tc>
          <w:tcPr>
            <w:tcW w:w="4414" w:type="dxa"/>
          </w:tcPr>
          <w:p w:rsidR="00693B4F" w:rsidRPr="001D7901" w:rsidRDefault="00693B4F" w:rsidP="0092734A">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693B4F" w:rsidRPr="001D7901" w:rsidRDefault="00693B4F" w:rsidP="0092734A">
            <w:pPr>
              <w:jc w:val="center"/>
              <w:rPr>
                <w:rFonts w:ascii="Cambria" w:hAnsi="Cambria"/>
                <w:b/>
                <w:bCs/>
                <w:sz w:val="20"/>
                <w:szCs w:val="20"/>
              </w:rPr>
            </w:pPr>
            <w:r w:rsidRPr="001D7901">
              <w:rPr>
                <w:rFonts w:ascii="Cambria" w:hAnsi="Cambria"/>
                <w:b/>
                <w:bCs/>
                <w:sz w:val="20"/>
                <w:szCs w:val="20"/>
              </w:rPr>
              <w:t>Nueva versión con que quedaría la norma</w:t>
            </w:r>
          </w:p>
        </w:tc>
      </w:tr>
      <w:tr w:rsidR="00645974" w:rsidTr="0092734A">
        <w:tc>
          <w:tcPr>
            <w:tcW w:w="4414" w:type="dxa"/>
          </w:tcPr>
          <w:p w:rsidR="00645974" w:rsidRDefault="00645974" w:rsidP="00645974">
            <w:pPr>
              <w:jc w:val="both"/>
              <w:rPr>
                <w:rFonts w:ascii="Cambria" w:hAnsi="Cambria"/>
                <w:sz w:val="20"/>
                <w:szCs w:val="20"/>
              </w:rPr>
            </w:pPr>
            <w:bookmarkStart w:id="60" w:name="43"/>
            <w:r w:rsidRPr="00693B4F">
              <w:rPr>
                <w:rFonts w:ascii="Cambria" w:hAnsi="Cambria"/>
                <w:b/>
                <w:bCs/>
                <w:color w:val="000000" w:themeColor="text1"/>
                <w:sz w:val="20"/>
                <w:szCs w:val="20"/>
              </w:rPr>
              <w:t>Artículo 43. Corrección de errores e inconsistencias en las declaraciones y recibos de pago</w:t>
            </w:r>
            <w:r w:rsidRPr="00693B4F">
              <w:rPr>
                <w:rFonts w:ascii="Cambria" w:hAnsi="Cambria"/>
                <w:b/>
                <w:bCs/>
                <w:color w:val="BE9E55"/>
                <w:sz w:val="20"/>
                <w:szCs w:val="20"/>
              </w:rPr>
              <w:t>.</w:t>
            </w:r>
            <w:bookmarkEnd w:id="60"/>
            <w:r w:rsidRPr="00693B4F">
              <w:rPr>
                <w:rFonts w:ascii="Cambria" w:hAnsi="Cambria"/>
                <w:sz w:val="20"/>
                <w:szCs w:val="20"/>
              </w:rPr>
              <w:t> Cuando en la verificación del cumplimiento de las obligaciones de los contribuyentes, responsables, agentes de retención, y demás declarantes de los tributos se detecten inconsistencias en el diligenciamiento de los formularios prescritos para el efecto, tales como omisiones o errores en el concepto del tributo que se cancela, año y/o período gravable; estos se podrán corregir de oficio o a solicitud de parte, sin sanción, para que prevalezca la verdad real sobre la formal, generada por error, siempre y cuando la inconsistencia no afecte el valor por declarar.</w:t>
            </w:r>
          </w:p>
          <w:p w:rsidR="00645974" w:rsidRDefault="00645974" w:rsidP="00645974">
            <w:pPr>
              <w:jc w:val="both"/>
              <w:rPr>
                <w:rFonts w:ascii="Cambria" w:hAnsi="Cambria"/>
                <w:sz w:val="20"/>
                <w:szCs w:val="20"/>
              </w:rPr>
            </w:pPr>
          </w:p>
          <w:p w:rsidR="00645974" w:rsidRPr="00693B4F" w:rsidRDefault="00645974" w:rsidP="00645974">
            <w:pPr>
              <w:jc w:val="both"/>
              <w:rPr>
                <w:rFonts w:ascii="Cambria" w:hAnsi="Cambria"/>
                <w:sz w:val="20"/>
                <w:szCs w:val="20"/>
              </w:rPr>
            </w:pPr>
          </w:p>
          <w:p w:rsidR="00645974" w:rsidRPr="00693B4F" w:rsidRDefault="00645974" w:rsidP="00645974">
            <w:pPr>
              <w:jc w:val="both"/>
              <w:rPr>
                <w:rFonts w:ascii="Cambria" w:hAnsi="Cambria"/>
                <w:sz w:val="20"/>
                <w:szCs w:val="20"/>
              </w:rPr>
            </w:pPr>
            <w:r w:rsidRPr="00693B4F">
              <w:rPr>
                <w:rFonts w:ascii="Cambria" w:hAnsi="Cambria"/>
                <w:sz w:val="20"/>
                <w:szCs w:val="20"/>
              </w:rPr>
              <w:t>Bajo estos mismos presupuestos, la Administración podrá corregir sin sanción, errores de NIT, de imputación o errores aritméticos, siempre y cuando la modificación no resulte relevante para definir de fondo la determinación del tributo o la discriminación de los valores retenidos para el caso de la declaración mensual de retención en la fuente.</w:t>
            </w:r>
          </w:p>
          <w:p w:rsidR="00645974" w:rsidRDefault="00645974" w:rsidP="00645974">
            <w:pPr>
              <w:jc w:val="both"/>
              <w:rPr>
                <w:rFonts w:ascii="Cambria" w:hAnsi="Cambria"/>
                <w:sz w:val="20"/>
                <w:szCs w:val="20"/>
              </w:rPr>
            </w:pPr>
            <w:r w:rsidRPr="00693B4F">
              <w:rPr>
                <w:rFonts w:ascii="Cambria" w:hAnsi="Cambria"/>
                <w:sz w:val="20"/>
                <w:szCs w:val="20"/>
              </w:rPr>
              <w:t>La corrección se podrá realizar en cualquier tiempo, modificando la información en los sistemas que para tal efecto maneje la entidad, ajustando registros y los estados financieros a que haya lugar, e informará de la corrección al interesado.</w:t>
            </w:r>
          </w:p>
          <w:p w:rsidR="00645974" w:rsidRPr="00693B4F" w:rsidRDefault="00645974" w:rsidP="00645974">
            <w:pPr>
              <w:jc w:val="both"/>
              <w:rPr>
                <w:rFonts w:ascii="Cambria" w:hAnsi="Cambria"/>
                <w:sz w:val="20"/>
                <w:szCs w:val="20"/>
              </w:rPr>
            </w:pPr>
          </w:p>
          <w:p w:rsidR="00645974" w:rsidRPr="00693B4F" w:rsidRDefault="00645974" w:rsidP="00645974">
            <w:pPr>
              <w:jc w:val="both"/>
              <w:rPr>
                <w:rFonts w:ascii="Cambria" w:hAnsi="Cambria"/>
                <w:sz w:val="20"/>
                <w:szCs w:val="20"/>
              </w:rPr>
            </w:pPr>
            <w:r w:rsidRPr="00693B4F">
              <w:rPr>
                <w:rFonts w:ascii="Cambria" w:hAnsi="Cambria"/>
                <w:sz w:val="20"/>
                <w:szCs w:val="20"/>
              </w:rPr>
              <w:t>La declaración, así corregida, reemplaza para todos los efectos legales la presentada por el contribuyente, responsable, agente retenedor o declarante, si dentro del mes siguiente al aviso el interesado no ha presentado por escrito ninguna objeción.</w:t>
            </w:r>
          </w:p>
          <w:p w:rsidR="00645974" w:rsidRPr="00693B4F" w:rsidRDefault="00645974" w:rsidP="00645974">
            <w:pPr>
              <w:jc w:val="both"/>
              <w:rPr>
                <w:rFonts w:ascii="Cambria" w:hAnsi="Cambria"/>
                <w:sz w:val="20"/>
                <w:szCs w:val="20"/>
              </w:rPr>
            </w:pPr>
          </w:p>
        </w:tc>
        <w:tc>
          <w:tcPr>
            <w:tcW w:w="4414" w:type="dxa"/>
          </w:tcPr>
          <w:p w:rsidR="00645974" w:rsidRDefault="00645974" w:rsidP="00645974">
            <w:pPr>
              <w:jc w:val="both"/>
              <w:rPr>
                <w:rFonts w:ascii="Cambria" w:hAnsi="Cambria"/>
                <w:sz w:val="20"/>
                <w:szCs w:val="20"/>
              </w:rPr>
            </w:pPr>
            <w:r w:rsidRPr="00693B4F">
              <w:rPr>
                <w:rFonts w:ascii="Cambria" w:hAnsi="Cambria"/>
                <w:b/>
                <w:bCs/>
                <w:color w:val="000000" w:themeColor="text1"/>
                <w:sz w:val="20"/>
                <w:szCs w:val="20"/>
              </w:rPr>
              <w:t>Artículo 43. Corrección de errores e inconsistencias en las declaraciones y recibos de pago</w:t>
            </w:r>
            <w:r>
              <w:rPr>
                <w:rFonts w:ascii="Cambria" w:hAnsi="Cambria"/>
                <w:b/>
                <w:bCs/>
                <w:color w:val="000000" w:themeColor="text1"/>
                <w:sz w:val="20"/>
                <w:szCs w:val="20"/>
              </w:rPr>
              <w:t xml:space="preserve"> </w:t>
            </w:r>
            <w:r w:rsidRPr="00645974">
              <w:rPr>
                <w:rFonts w:ascii="Cambria" w:hAnsi="Cambria"/>
                <w:b/>
                <w:bCs/>
                <w:color w:val="FF0000"/>
                <w:sz w:val="20"/>
                <w:szCs w:val="20"/>
              </w:rPr>
              <w:t xml:space="preserve">(modificado con artículo 72 del </w:t>
            </w:r>
            <w:proofErr w:type="spellStart"/>
            <w:r w:rsidRPr="00645974">
              <w:rPr>
                <w:rFonts w:ascii="Cambria" w:hAnsi="Cambria"/>
                <w:b/>
                <w:bCs/>
                <w:color w:val="FF0000"/>
                <w:sz w:val="20"/>
                <w:szCs w:val="20"/>
              </w:rPr>
              <w:t>proeyecto</w:t>
            </w:r>
            <w:proofErr w:type="spellEnd"/>
            <w:r w:rsidRPr="00645974">
              <w:rPr>
                <w:rFonts w:ascii="Cambria" w:hAnsi="Cambria"/>
                <w:b/>
                <w:bCs/>
                <w:color w:val="FF0000"/>
                <w:sz w:val="20"/>
                <w:szCs w:val="20"/>
              </w:rPr>
              <w:t xml:space="preserve"> de </w:t>
            </w:r>
            <w:r w:rsidR="00852E78">
              <w:rPr>
                <w:rFonts w:ascii="Cambria" w:hAnsi="Cambria"/>
                <w:b/>
                <w:bCs/>
                <w:color w:val="FF0000"/>
                <w:sz w:val="20"/>
                <w:szCs w:val="20"/>
              </w:rPr>
              <w:t>Ley septiembre de 2025</w:t>
            </w:r>
            <w:r w:rsidRPr="00645974">
              <w:rPr>
                <w:rFonts w:ascii="Cambria" w:hAnsi="Cambria"/>
                <w:b/>
                <w:bCs/>
                <w:color w:val="FF0000"/>
                <w:sz w:val="20"/>
                <w:szCs w:val="20"/>
              </w:rPr>
              <w:t>)</w:t>
            </w:r>
            <w:r w:rsidRPr="00693B4F">
              <w:rPr>
                <w:rFonts w:ascii="Cambria" w:hAnsi="Cambria"/>
                <w:b/>
                <w:bCs/>
                <w:color w:val="BE9E55"/>
                <w:sz w:val="20"/>
                <w:szCs w:val="20"/>
              </w:rPr>
              <w:t>.</w:t>
            </w:r>
            <w:r w:rsidRPr="00693B4F">
              <w:rPr>
                <w:rFonts w:ascii="Cambria" w:hAnsi="Cambria"/>
                <w:sz w:val="20"/>
                <w:szCs w:val="20"/>
              </w:rPr>
              <w:t> Cuando en la verificación del cumplimiento de las obligaciones de los contribuyentes, responsables, agentes de retención, y demás declarantes de los tributos se detecten inconsistencias en el diligenciamiento de los formularios prescritos para el efecto, tales como omisiones o errores en el concepto del tributo que se cancela, año y/o período gravable; estos se podrán corregir de oficio o a solicitud de parte, sin sanción, para que prevalezca la verdad real sobre la formal, generada por error, siempre y cuando la inconsistencia no afecte el valor por declarar.</w:t>
            </w:r>
          </w:p>
          <w:p w:rsidR="00645974" w:rsidRPr="00693B4F" w:rsidRDefault="00645974" w:rsidP="00645974">
            <w:pPr>
              <w:jc w:val="both"/>
              <w:rPr>
                <w:rFonts w:ascii="Cambria" w:hAnsi="Cambria"/>
                <w:sz w:val="20"/>
                <w:szCs w:val="20"/>
              </w:rPr>
            </w:pPr>
          </w:p>
          <w:p w:rsidR="00645974" w:rsidRPr="00693B4F" w:rsidRDefault="00645974" w:rsidP="00645974">
            <w:pPr>
              <w:jc w:val="both"/>
              <w:rPr>
                <w:rFonts w:ascii="Cambria" w:hAnsi="Cambria"/>
                <w:sz w:val="20"/>
                <w:szCs w:val="20"/>
              </w:rPr>
            </w:pPr>
            <w:r w:rsidRPr="00693B4F">
              <w:rPr>
                <w:rFonts w:ascii="Cambria" w:hAnsi="Cambria"/>
                <w:sz w:val="20"/>
                <w:szCs w:val="20"/>
              </w:rPr>
              <w:t>Bajo estos mismos presupuestos, la Administración podrá corregir sin sanción, errores de NIT, de imputación o errores aritméticos, siempre y cuando la modificación no resulte relevante para definir de fondo la determinación del tributo o la discriminación de los valores retenidos para el caso de la declaración mensual de retención en la fuente.</w:t>
            </w:r>
          </w:p>
          <w:p w:rsidR="00645974" w:rsidRDefault="00645974" w:rsidP="00645974">
            <w:pPr>
              <w:jc w:val="both"/>
              <w:rPr>
                <w:rFonts w:ascii="Cambria" w:hAnsi="Cambria"/>
                <w:sz w:val="20"/>
                <w:szCs w:val="20"/>
              </w:rPr>
            </w:pPr>
            <w:r w:rsidRPr="00693B4F">
              <w:rPr>
                <w:rFonts w:ascii="Cambria" w:hAnsi="Cambria"/>
                <w:sz w:val="20"/>
                <w:szCs w:val="20"/>
              </w:rPr>
              <w:t>La corrección se podrá realizar en cualquier tiempo, modificando la información en los sistemas que para tal efecto maneje la entidad, ajustando registros y los estados financieros a que haya lugar, e informará de la corrección al interesado.</w:t>
            </w:r>
          </w:p>
          <w:p w:rsidR="00645974" w:rsidRPr="00693B4F" w:rsidRDefault="00645974" w:rsidP="00645974">
            <w:pPr>
              <w:jc w:val="both"/>
              <w:rPr>
                <w:rFonts w:ascii="Cambria" w:hAnsi="Cambria"/>
                <w:sz w:val="20"/>
                <w:szCs w:val="20"/>
              </w:rPr>
            </w:pPr>
          </w:p>
          <w:p w:rsidR="00645974" w:rsidRPr="00693B4F" w:rsidRDefault="00645974" w:rsidP="00645974">
            <w:pPr>
              <w:jc w:val="both"/>
              <w:rPr>
                <w:rFonts w:ascii="Cambria" w:hAnsi="Cambria"/>
                <w:sz w:val="20"/>
                <w:szCs w:val="20"/>
              </w:rPr>
            </w:pPr>
            <w:r w:rsidRPr="00693B4F">
              <w:rPr>
                <w:rFonts w:ascii="Cambria" w:hAnsi="Cambria"/>
                <w:sz w:val="20"/>
                <w:szCs w:val="20"/>
              </w:rPr>
              <w:t>La declaración, así corregida, reemplaza para todos los efectos legales la presentada por el contribuyente, responsable, agente retenedor o declarante, si dentro del mes siguiente al aviso el interesado no ha presentado por escrito ninguna objeción.</w:t>
            </w:r>
          </w:p>
          <w:p w:rsidR="00645974" w:rsidRDefault="00645974" w:rsidP="00645974">
            <w:pPr>
              <w:jc w:val="both"/>
              <w:rPr>
                <w:rFonts w:ascii="Cambria" w:hAnsi="Cambria"/>
                <w:sz w:val="20"/>
                <w:szCs w:val="20"/>
              </w:rPr>
            </w:pPr>
          </w:p>
          <w:p w:rsidR="00645974" w:rsidRDefault="00645974" w:rsidP="00645974">
            <w:pPr>
              <w:jc w:val="both"/>
              <w:rPr>
                <w:sz w:val="20"/>
                <w:szCs w:val="20"/>
              </w:rPr>
            </w:pPr>
            <w:r w:rsidRPr="00645974">
              <w:rPr>
                <w:rFonts w:ascii="Cambria" w:hAnsi="Cambria"/>
                <w:sz w:val="20"/>
                <w:szCs w:val="20"/>
                <w:highlight w:val="yellow"/>
              </w:rPr>
              <w:lastRenderedPageBreak/>
              <w:t>Parágrafo 1. El término para corregir errores en la imputación de saldos a favor, de retenciones o de anticipos de impuestos está sometido a los términos de firmeza previstos en los artículos 147 o 714 del Estatuto Tributario, según sea el caso. Las declaraciones así corregidas no impiden la facultad de revisión, la cual se contará a partir de la fecha de la corrección.</w:t>
            </w:r>
            <w:r>
              <w:rPr>
                <w:sz w:val="20"/>
                <w:szCs w:val="20"/>
              </w:rPr>
              <w:t xml:space="preserve"> </w:t>
            </w:r>
          </w:p>
          <w:p w:rsidR="00645974" w:rsidRPr="00693B4F" w:rsidRDefault="00645974" w:rsidP="00645974">
            <w:pPr>
              <w:jc w:val="both"/>
              <w:rPr>
                <w:rFonts w:ascii="Cambria" w:hAnsi="Cambria"/>
                <w:sz w:val="20"/>
                <w:szCs w:val="20"/>
              </w:rPr>
            </w:pPr>
          </w:p>
        </w:tc>
      </w:tr>
    </w:tbl>
    <w:p w:rsidR="00693B4F" w:rsidRDefault="00693B4F" w:rsidP="00693B4F"/>
    <w:p w:rsidR="00693B4F" w:rsidRDefault="00693B4F" w:rsidP="00693B4F"/>
    <w:p w:rsidR="00693B4F" w:rsidRPr="00645974" w:rsidRDefault="00645974" w:rsidP="00693B4F">
      <w:pPr>
        <w:rPr>
          <w:rFonts w:ascii="Calibri" w:hAnsi="Calibri"/>
          <w:b/>
          <w:color w:val="FF0000"/>
          <w:lang w:val="es-ES"/>
        </w:rPr>
      </w:pPr>
      <w:r w:rsidRPr="00645974">
        <w:rPr>
          <w:rFonts w:ascii="Calibri" w:hAnsi="Calibri"/>
          <w:b/>
          <w:color w:val="FF0000"/>
          <w:lang w:val="es-ES"/>
        </w:rPr>
        <w:t>Ley 1715 de mayo 13 de 2014 Por medio de la cual se regula la integración de las energías renovables no convencionales al Sistema Energético Nacional.</w:t>
      </w:r>
    </w:p>
    <w:p w:rsidR="00693B4F" w:rsidRPr="00645974" w:rsidRDefault="00693B4F" w:rsidP="00693B4F">
      <w:pPr>
        <w:rPr>
          <w:rFonts w:ascii="Calibri" w:hAnsi="Calibri"/>
          <w:b/>
          <w:color w:val="FF0000"/>
          <w:lang w:val="es-ES"/>
        </w:rPr>
      </w:pPr>
    </w:p>
    <w:tbl>
      <w:tblPr>
        <w:tblStyle w:val="Tablaconcuadrcula"/>
        <w:tblW w:w="0" w:type="auto"/>
        <w:tblLook w:val="04A0" w:firstRow="1" w:lastRow="0" w:firstColumn="1" w:lastColumn="0" w:noHBand="0" w:noVBand="1"/>
      </w:tblPr>
      <w:tblGrid>
        <w:gridCol w:w="4414"/>
        <w:gridCol w:w="4414"/>
      </w:tblGrid>
      <w:tr w:rsidR="00693B4F" w:rsidRPr="0065720A" w:rsidTr="0092734A">
        <w:tc>
          <w:tcPr>
            <w:tcW w:w="4414" w:type="dxa"/>
          </w:tcPr>
          <w:p w:rsidR="00693B4F" w:rsidRPr="001D7901" w:rsidRDefault="00693B4F" w:rsidP="0092734A">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693B4F" w:rsidRPr="001D7901" w:rsidRDefault="00693B4F" w:rsidP="0092734A">
            <w:pPr>
              <w:jc w:val="center"/>
              <w:rPr>
                <w:rFonts w:ascii="Cambria" w:hAnsi="Cambria"/>
                <w:b/>
                <w:bCs/>
                <w:sz w:val="20"/>
                <w:szCs w:val="20"/>
              </w:rPr>
            </w:pPr>
            <w:r w:rsidRPr="001D7901">
              <w:rPr>
                <w:rFonts w:ascii="Cambria" w:hAnsi="Cambria"/>
                <w:b/>
                <w:bCs/>
                <w:sz w:val="20"/>
                <w:szCs w:val="20"/>
              </w:rPr>
              <w:t>Nueva versión con que quedaría la norma</w:t>
            </w:r>
          </w:p>
        </w:tc>
      </w:tr>
      <w:tr w:rsidR="00693B4F" w:rsidTr="0092734A">
        <w:tc>
          <w:tcPr>
            <w:tcW w:w="4414" w:type="dxa"/>
          </w:tcPr>
          <w:p w:rsidR="00645974" w:rsidRDefault="00645974" w:rsidP="00645974">
            <w:pPr>
              <w:jc w:val="both"/>
              <w:rPr>
                <w:rFonts w:ascii="Cambria" w:hAnsi="Cambria"/>
                <w:color w:val="4B4949"/>
                <w:sz w:val="20"/>
                <w:szCs w:val="20"/>
              </w:rPr>
            </w:pPr>
            <w:bookmarkStart w:id="61" w:name="11"/>
            <w:r w:rsidRPr="00645974">
              <w:rPr>
                <w:rFonts w:ascii="Cambria" w:hAnsi="Cambria"/>
                <w:b/>
                <w:bCs/>
                <w:sz w:val="20"/>
                <w:szCs w:val="20"/>
              </w:rPr>
              <w:t xml:space="preserve">Artículo 11. Incentivos a la generación de energía eléctrica </w:t>
            </w:r>
            <w:r w:rsidRPr="00645974">
              <w:rPr>
                <w:rFonts w:ascii="Cambria" w:hAnsi="Cambria"/>
                <w:b/>
                <w:bCs/>
                <w:sz w:val="20"/>
                <w:szCs w:val="20"/>
                <w:highlight w:val="yellow"/>
              </w:rPr>
              <w:t>con</w:t>
            </w:r>
            <w:r w:rsidRPr="00645974">
              <w:rPr>
                <w:rFonts w:ascii="Cambria" w:hAnsi="Cambria"/>
                <w:b/>
                <w:bCs/>
                <w:sz w:val="20"/>
                <w:szCs w:val="20"/>
              </w:rPr>
              <w:t xml:space="preserve"> fuentes no convencionales (</w:t>
            </w:r>
            <w:proofErr w:type="spellStart"/>
            <w:r w:rsidRPr="00645974">
              <w:rPr>
                <w:rFonts w:ascii="Cambria" w:hAnsi="Cambria"/>
                <w:b/>
                <w:bCs/>
                <w:sz w:val="20"/>
                <w:szCs w:val="20"/>
              </w:rPr>
              <w:t>fnce</w:t>
            </w:r>
            <w:proofErr w:type="spellEnd"/>
            <w:r w:rsidRPr="00645974">
              <w:rPr>
                <w:rFonts w:ascii="Cambria" w:hAnsi="Cambria"/>
                <w:b/>
                <w:bCs/>
                <w:sz w:val="20"/>
                <w:szCs w:val="20"/>
              </w:rPr>
              <w:t>) y a la gestión eficiente de la energía</w:t>
            </w:r>
            <w:r w:rsidRPr="00645974">
              <w:rPr>
                <w:rFonts w:ascii="Cambria" w:hAnsi="Cambria"/>
                <w:sz w:val="20"/>
                <w:szCs w:val="20"/>
              </w:rPr>
              <w:t>.</w:t>
            </w:r>
            <w:bookmarkEnd w:id="61"/>
            <w:r w:rsidRPr="00645974">
              <w:rPr>
                <w:rFonts w:ascii="Cambria" w:hAnsi="Cambria"/>
                <w:color w:val="4B4949"/>
                <w:sz w:val="20"/>
                <w:szCs w:val="20"/>
              </w:rPr>
              <w:t xml:space="preserve">  </w:t>
            </w:r>
            <w:r w:rsidRPr="00645974">
              <w:rPr>
                <w:rFonts w:ascii="Cambria" w:hAnsi="Cambria"/>
                <w:color w:val="4B4949"/>
                <w:sz w:val="20"/>
                <w:szCs w:val="20"/>
                <w:highlight w:val="yellow"/>
              </w:rPr>
              <w:t>Como fomento a la investigación, el desarrollo y la inversión en el ámbito de la producción de energía</w:t>
            </w:r>
            <w:r w:rsidRPr="00645974">
              <w:rPr>
                <w:rFonts w:ascii="Cambria" w:hAnsi="Cambria"/>
                <w:color w:val="4B4949"/>
                <w:sz w:val="20"/>
                <w:szCs w:val="20"/>
              </w:rPr>
              <w:t xml:space="preserve"> </w:t>
            </w:r>
            <w:r w:rsidRPr="00645974">
              <w:rPr>
                <w:rFonts w:ascii="Cambria" w:hAnsi="Cambria"/>
                <w:color w:val="4B4949"/>
                <w:sz w:val="20"/>
                <w:szCs w:val="20"/>
                <w:highlight w:val="yellow"/>
              </w:rPr>
              <w:t>con</w:t>
            </w:r>
            <w:r w:rsidRPr="00645974">
              <w:rPr>
                <w:rFonts w:ascii="Cambria" w:hAnsi="Cambria"/>
                <w:color w:val="4B4949"/>
                <w:sz w:val="20"/>
                <w:szCs w:val="20"/>
              </w:rPr>
              <w:t xml:space="preserve"> fuentes no convencionales de energía (FNCE) y de la gestión eficiente de la energía, incluyendo la medición inteligente, </w:t>
            </w:r>
            <w:r w:rsidRPr="00645974">
              <w:rPr>
                <w:rFonts w:ascii="Cambria" w:hAnsi="Cambria"/>
                <w:color w:val="4B4949"/>
                <w:sz w:val="20"/>
                <w:szCs w:val="20"/>
                <w:highlight w:val="yellow"/>
              </w:rPr>
              <w:t>los obligados a declarar renta</w:t>
            </w:r>
            <w:r w:rsidRPr="00645974">
              <w:rPr>
                <w:rFonts w:ascii="Cambria" w:hAnsi="Cambria"/>
                <w:color w:val="4B4949"/>
                <w:sz w:val="20"/>
                <w:szCs w:val="20"/>
              </w:rPr>
              <w:t xml:space="preserve"> que realicen </w:t>
            </w:r>
            <w:r w:rsidRPr="00645974">
              <w:rPr>
                <w:rFonts w:ascii="Cambria" w:hAnsi="Cambria"/>
                <w:color w:val="4B4949"/>
                <w:sz w:val="20"/>
                <w:szCs w:val="20"/>
                <w:highlight w:val="yellow"/>
              </w:rPr>
              <w:t>directament</w:t>
            </w:r>
            <w:r w:rsidRPr="00645974">
              <w:rPr>
                <w:rFonts w:ascii="Cambria" w:hAnsi="Cambria"/>
                <w:color w:val="4B4949"/>
                <w:sz w:val="20"/>
                <w:szCs w:val="20"/>
              </w:rPr>
              <w:t xml:space="preserve">e inversiones </w:t>
            </w:r>
            <w:r w:rsidRPr="00645974">
              <w:rPr>
                <w:rFonts w:ascii="Cambria" w:hAnsi="Cambria"/>
                <w:color w:val="4B4949"/>
                <w:sz w:val="20"/>
                <w:szCs w:val="20"/>
                <w:highlight w:val="yellow"/>
              </w:rPr>
              <w:t>en este sentido,</w:t>
            </w:r>
            <w:r w:rsidRPr="00645974">
              <w:rPr>
                <w:rFonts w:ascii="Cambria" w:hAnsi="Cambria"/>
                <w:color w:val="4B4949"/>
                <w:sz w:val="20"/>
                <w:szCs w:val="20"/>
              </w:rPr>
              <w:t xml:space="preserve"> </w:t>
            </w:r>
            <w:r w:rsidRPr="00645974">
              <w:rPr>
                <w:rFonts w:ascii="Cambria" w:hAnsi="Cambria"/>
                <w:color w:val="4B4949"/>
                <w:sz w:val="20"/>
                <w:szCs w:val="20"/>
                <w:highlight w:val="yellow"/>
              </w:rPr>
              <w:t>tendrán derecho a deducir de su renta</w:t>
            </w:r>
            <w:r w:rsidRPr="00645974">
              <w:rPr>
                <w:rFonts w:ascii="Cambria" w:hAnsi="Cambria"/>
                <w:color w:val="4B4949"/>
                <w:sz w:val="20"/>
                <w:szCs w:val="20"/>
              </w:rPr>
              <w:t xml:space="preserve">, </w:t>
            </w:r>
            <w:r w:rsidRPr="00645974">
              <w:rPr>
                <w:rFonts w:ascii="Cambria" w:hAnsi="Cambria"/>
                <w:color w:val="4B4949"/>
                <w:sz w:val="20"/>
                <w:szCs w:val="20"/>
                <w:highlight w:val="yellow"/>
              </w:rPr>
              <w:t>en un período no mayor de 15 años</w:t>
            </w:r>
            <w:r w:rsidRPr="00645974">
              <w:rPr>
                <w:rFonts w:ascii="Cambria" w:hAnsi="Cambria"/>
                <w:color w:val="4B4949"/>
                <w:sz w:val="20"/>
                <w:szCs w:val="20"/>
              </w:rPr>
              <w:t xml:space="preserve">, contados a partir del año gravable siguiente en </w:t>
            </w:r>
            <w:r w:rsidRPr="00645974">
              <w:rPr>
                <w:rFonts w:ascii="Cambria" w:hAnsi="Cambria"/>
                <w:color w:val="4B4949"/>
                <w:sz w:val="20"/>
                <w:szCs w:val="20"/>
                <w:highlight w:val="yellow"/>
              </w:rPr>
              <w:t>el que haya entrado en operación la inversión,</w:t>
            </w:r>
            <w:r w:rsidRPr="00645974">
              <w:rPr>
                <w:rFonts w:ascii="Cambria" w:hAnsi="Cambria"/>
                <w:color w:val="4B4949"/>
                <w:sz w:val="20"/>
                <w:szCs w:val="20"/>
              </w:rPr>
              <w:t xml:space="preserve"> el 50% </w:t>
            </w:r>
            <w:r w:rsidRPr="00645974">
              <w:rPr>
                <w:rFonts w:ascii="Cambria" w:hAnsi="Cambria"/>
                <w:color w:val="4B4949"/>
                <w:sz w:val="20"/>
                <w:szCs w:val="20"/>
                <w:highlight w:val="yellow"/>
              </w:rPr>
              <w:t>del total</w:t>
            </w:r>
            <w:r w:rsidRPr="00645974">
              <w:rPr>
                <w:rFonts w:ascii="Cambria" w:hAnsi="Cambria"/>
                <w:color w:val="4B4949"/>
                <w:sz w:val="20"/>
                <w:szCs w:val="20"/>
              </w:rPr>
              <w:t xml:space="preserve"> de la inversión realizada.</w:t>
            </w:r>
          </w:p>
          <w:p w:rsidR="00645974" w:rsidRPr="00645974" w:rsidRDefault="00645974" w:rsidP="00645974">
            <w:pPr>
              <w:jc w:val="both"/>
              <w:rPr>
                <w:rFonts w:ascii="Cambria" w:hAnsi="Cambria"/>
                <w:color w:val="4B4949"/>
                <w:sz w:val="20"/>
                <w:szCs w:val="20"/>
              </w:rPr>
            </w:pPr>
          </w:p>
          <w:p w:rsidR="00645974" w:rsidRDefault="00645974" w:rsidP="00645974">
            <w:pPr>
              <w:jc w:val="both"/>
              <w:rPr>
                <w:rFonts w:ascii="Cambria" w:hAnsi="Cambria"/>
                <w:color w:val="4B4949"/>
                <w:sz w:val="20"/>
                <w:szCs w:val="20"/>
              </w:rPr>
            </w:pPr>
            <w:r w:rsidRPr="00645974">
              <w:rPr>
                <w:rFonts w:ascii="Cambria" w:hAnsi="Cambria"/>
                <w:color w:val="4B4949"/>
                <w:sz w:val="20"/>
                <w:szCs w:val="20"/>
              </w:rPr>
              <w:t>El valor a deducir por este concepto en ningún caso podrá ser superior al 50% de la renta líquida del contribuyente, determinada antes de restar el valor de la inversión.</w:t>
            </w:r>
          </w:p>
          <w:p w:rsidR="00645974" w:rsidRPr="00645974" w:rsidRDefault="00645974" w:rsidP="00645974">
            <w:pPr>
              <w:jc w:val="both"/>
              <w:rPr>
                <w:rFonts w:ascii="Cambria" w:hAnsi="Cambria"/>
                <w:color w:val="4B4949"/>
                <w:sz w:val="20"/>
                <w:szCs w:val="20"/>
              </w:rPr>
            </w:pPr>
          </w:p>
          <w:p w:rsidR="00645974" w:rsidRPr="00645974" w:rsidRDefault="00645974" w:rsidP="00645974">
            <w:pPr>
              <w:jc w:val="both"/>
              <w:rPr>
                <w:rFonts w:ascii="Cambria" w:hAnsi="Cambria"/>
                <w:color w:val="4B4949"/>
                <w:sz w:val="20"/>
                <w:szCs w:val="20"/>
              </w:rPr>
            </w:pPr>
            <w:r w:rsidRPr="00645974">
              <w:rPr>
                <w:rFonts w:ascii="Cambria" w:hAnsi="Cambria"/>
                <w:color w:val="4B4949"/>
                <w:sz w:val="20"/>
                <w:szCs w:val="20"/>
              </w:rPr>
              <w:t>Para los efectos de la obtención del presente beneficio tributario, la inversión deberá ser evaluada y certificada como proyecto de generación de energía a partir de fuentes no convencionales de energía (FNCE) o como acción o medida de gestión eficiente de la energía por la Unidad de Planeación Minero Energética (UPME).</w:t>
            </w:r>
          </w:p>
          <w:p w:rsidR="00693B4F" w:rsidRPr="00645974" w:rsidRDefault="00693B4F" w:rsidP="00645974">
            <w:pPr>
              <w:jc w:val="both"/>
              <w:rPr>
                <w:rFonts w:ascii="Cambria" w:hAnsi="Cambria"/>
                <w:sz w:val="20"/>
                <w:szCs w:val="20"/>
              </w:rPr>
            </w:pPr>
          </w:p>
        </w:tc>
        <w:tc>
          <w:tcPr>
            <w:tcW w:w="4414" w:type="dxa"/>
          </w:tcPr>
          <w:p w:rsidR="00645974" w:rsidRPr="00645974" w:rsidRDefault="00645974" w:rsidP="00645974">
            <w:pPr>
              <w:jc w:val="both"/>
              <w:rPr>
                <w:rFonts w:ascii="Cambria" w:hAnsi="Cambria"/>
                <w:sz w:val="20"/>
                <w:szCs w:val="20"/>
              </w:rPr>
            </w:pPr>
            <w:r w:rsidRPr="00645974">
              <w:rPr>
                <w:rFonts w:ascii="Cambria" w:hAnsi="Cambria"/>
                <w:b/>
                <w:bCs/>
                <w:sz w:val="20"/>
                <w:szCs w:val="20"/>
              </w:rPr>
              <w:t xml:space="preserve">Artículo 11. Incentivo a las </w:t>
            </w:r>
            <w:r w:rsidRPr="00645974">
              <w:rPr>
                <w:rFonts w:ascii="Cambria" w:hAnsi="Cambria"/>
                <w:b/>
                <w:bCs/>
                <w:sz w:val="20"/>
                <w:szCs w:val="20"/>
                <w:highlight w:val="yellow"/>
              </w:rPr>
              <w:t>Inversiones en Proyecto de</w:t>
            </w:r>
            <w:r w:rsidRPr="00645974">
              <w:rPr>
                <w:rFonts w:ascii="Cambria" w:hAnsi="Cambria"/>
                <w:b/>
                <w:bCs/>
                <w:sz w:val="20"/>
                <w:szCs w:val="20"/>
              </w:rPr>
              <w:t xml:space="preserve"> Generación de Energía </w:t>
            </w:r>
            <w:r w:rsidRPr="00645974">
              <w:rPr>
                <w:rFonts w:ascii="Cambria" w:hAnsi="Cambria"/>
                <w:b/>
                <w:bCs/>
                <w:sz w:val="20"/>
                <w:szCs w:val="20"/>
                <w:highlight w:val="yellow"/>
              </w:rPr>
              <w:t>a partir de</w:t>
            </w:r>
            <w:r w:rsidRPr="00645974">
              <w:rPr>
                <w:rFonts w:ascii="Cambria" w:hAnsi="Cambria"/>
                <w:b/>
                <w:bCs/>
                <w:sz w:val="20"/>
                <w:szCs w:val="20"/>
              </w:rPr>
              <w:t xml:space="preserve"> Fuentes No Convencionales de Energía -FNCE y a la gestión eficiente de la energía</w:t>
            </w:r>
            <w:r>
              <w:rPr>
                <w:rFonts w:ascii="Cambria" w:hAnsi="Cambria"/>
                <w:b/>
                <w:bCs/>
                <w:sz w:val="20"/>
                <w:szCs w:val="20"/>
              </w:rPr>
              <w:t xml:space="preserve"> </w:t>
            </w:r>
            <w:r w:rsidRPr="00645974">
              <w:rPr>
                <w:rFonts w:ascii="Cambria" w:hAnsi="Cambria"/>
                <w:b/>
                <w:bCs/>
                <w:color w:val="FF0000"/>
                <w:sz w:val="20"/>
                <w:szCs w:val="20"/>
              </w:rPr>
              <w:t xml:space="preserve">(modificado con artículo </w:t>
            </w:r>
            <w:r>
              <w:rPr>
                <w:rFonts w:ascii="Cambria" w:hAnsi="Cambria"/>
                <w:b/>
                <w:bCs/>
                <w:color w:val="FF0000"/>
                <w:sz w:val="20"/>
                <w:szCs w:val="20"/>
              </w:rPr>
              <w:t>29</w:t>
            </w:r>
            <w:r w:rsidRPr="00645974">
              <w:rPr>
                <w:rFonts w:ascii="Cambria" w:hAnsi="Cambria"/>
                <w:b/>
                <w:bCs/>
                <w:color w:val="FF0000"/>
                <w:sz w:val="20"/>
                <w:szCs w:val="20"/>
              </w:rPr>
              <w:t xml:space="preserve"> del proyecto de </w:t>
            </w:r>
            <w:r w:rsidR="00852E78">
              <w:rPr>
                <w:rFonts w:ascii="Cambria" w:hAnsi="Cambria"/>
                <w:b/>
                <w:bCs/>
                <w:color w:val="FF0000"/>
                <w:sz w:val="20"/>
                <w:szCs w:val="20"/>
              </w:rPr>
              <w:t>Ley septiembre de 2025</w:t>
            </w:r>
            <w:r w:rsidRPr="00645974">
              <w:rPr>
                <w:rFonts w:ascii="Cambria" w:hAnsi="Cambria"/>
                <w:b/>
                <w:bCs/>
                <w:color w:val="FF0000"/>
                <w:sz w:val="20"/>
                <w:szCs w:val="20"/>
              </w:rPr>
              <w:t>)</w:t>
            </w:r>
            <w:r w:rsidRPr="00693B4F">
              <w:rPr>
                <w:rFonts w:ascii="Cambria" w:hAnsi="Cambria"/>
                <w:b/>
                <w:bCs/>
                <w:color w:val="BE9E55"/>
                <w:sz w:val="20"/>
                <w:szCs w:val="20"/>
              </w:rPr>
              <w:t>.</w:t>
            </w:r>
            <w:r w:rsidRPr="00693B4F">
              <w:rPr>
                <w:rFonts w:ascii="Cambria" w:hAnsi="Cambria"/>
                <w:sz w:val="20"/>
                <w:szCs w:val="20"/>
              </w:rPr>
              <w:t> </w:t>
            </w:r>
            <w:r w:rsidRPr="00645974">
              <w:rPr>
                <w:rFonts w:ascii="Cambria" w:hAnsi="Cambria"/>
                <w:sz w:val="20"/>
                <w:szCs w:val="20"/>
              </w:rPr>
              <w:t xml:space="preserve">. </w:t>
            </w:r>
            <w:r w:rsidRPr="00645974">
              <w:rPr>
                <w:rFonts w:ascii="Cambria" w:hAnsi="Cambria"/>
                <w:sz w:val="20"/>
                <w:szCs w:val="20"/>
                <w:highlight w:val="yellow"/>
              </w:rPr>
              <w:t>Quien realice la inversión</w:t>
            </w:r>
            <w:r w:rsidRPr="00645974">
              <w:rPr>
                <w:rFonts w:ascii="Cambria" w:hAnsi="Cambria"/>
                <w:sz w:val="20"/>
                <w:szCs w:val="20"/>
              </w:rPr>
              <w:t xml:space="preserve"> </w:t>
            </w:r>
            <w:r w:rsidRPr="00645974">
              <w:rPr>
                <w:rFonts w:ascii="Cambria" w:hAnsi="Cambria"/>
                <w:sz w:val="20"/>
                <w:szCs w:val="20"/>
                <w:highlight w:val="yellow"/>
              </w:rPr>
              <w:t>evaluada y certificada</w:t>
            </w:r>
            <w:r>
              <w:rPr>
                <w:rFonts w:ascii="Cambria" w:hAnsi="Cambria"/>
                <w:sz w:val="20"/>
                <w:szCs w:val="20"/>
              </w:rPr>
              <w:t xml:space="preserve"> </w:t>
            </w:r>
            <w:r w:rsidRPr="00645974">
              <w:rPr>
                <w:rFonts w:ascii="Cambria" w:hAnsi="Cambria"/>
                <w:sz w:val="20"/>
                <w:szCs w:val="20"/>
              </w:rPr>
              <w:t xml:space="preserve">como proyecto de generación de energía </w:t>
            </w:r>
            <w:r w:rsidRPr="00645974">
              <w:rPr>
                <w:rFonts w:ascii="Cambria" w:hAnsi="Cambria"/>
                <w:sz w:val="20"/>
                <w:szCs w:val="20"/>
                <w:highlight w:val="yellow"/>
              </w:rPr>
              <w:t>a partir de</w:t>
            </w:r>
            <w:r w:rsidRPr="00645974">
              <w:rPr>
                <w:rFonts w:ascii="Cambria" w:hAnsi="Cambria"/>
                <w:sz w:val="20"/>
                <w:szCs w:val="20"/>
              </w:rPr>
              <w:t xml:space="preserve"> Fuentes No Convencionales de Energía -FNCE- </w:t>
            </w:r>
            <w:r w:rsidRPr="00645974">
              <w:rPr>
                <w:rFonts w:ascii="Cambria" w:hAnsi="Cambria"/>
                <w:sz w:val="20"/>
                <w:szCs w:val="20"/>
                <w:highlight w:val="yellow"/>
              </w:rPr>
              <w:t>o como acción o medida</w:t>
            </w:r>
            <w:r w:rsidRPr="00645974">
              <w:rPr>
                <w:rFonts w:ascii="Cambria" w:hAnsi="Cambria"/>
                <w:sz w:val="20"/>
                <w:szCs w:val="20"/>
              </w:rPr>
              <w:t xml:space="preserve"> de gestión eficiente de la energía, </w:t>
            </w:r>
            <w:r w:rsidRPr="00645974">
              <w:rPr>
                <w:rFonts w:ascii="Cambria" w:hAnsi="Cambria"/>
                <w:sz w:val="20"/>
                <w:szCs w:val="20"/>
                <w:highlight w:val="yellow"/>
              </w:rPr>
              <w:t>autorizado por la Unidad de Planeación Minero Energética -UPME</w:t>
            </w:r>
            <w:r w:rsidRPr="00645974">
              <w:rPr>
                <w:rFonts w:ascii="Cambria" w:hAnsi="Cambria"/>
                <w:sz w:val="20"/>
                <w:szCs w:val="20"/>
              </w:rPr>
              <w:t xml:space="preserve">, </w:t>
            </w:r>
            <w:r w:rsidRPr="00645974">
              <w:rPr>
                <w:rFonts w:ascii="Cambria" w:hAnsi="Cambria"/>
                <w:sz w:val="20"/>
                <w:szCs w:val="20"/>
                <w:highlight w:val="yellow"/>
              </w:rPr>
              <w:t>podrán expedir bonos de transición energética que confieren al titular del bono el</w:t>
            </w:r>
            <w:r w:rsidRPr="00645974">
              <w:rPr>
                <w:rFonts w:ascii="Cambria" w:hAnsi="Cambria"/>
                <w:sz w:val="20"/>
                <w:szCs w:val="20"/>
              </w:rPr>
              <w:t xml:space="preserve"> </w:t>
            </w:r>
            <w:r w:rsidRPr="00645974">
              <w:rPr>
                <w:rFonts w:ascii="Cambria" w:hAnsi="Cambria"/>
                <w:sz w:val="20"/>
                <w:szCs w:val="20"/>
                <w:highlight w:val="yellow"/>
              </w:rPr>
              <w:t>derecho a deducir</w:t>
            </w:r>
            <w:r w:rsidRPr="00645974">
              <w:rPr>
                <w:rFonts w:ascii="Cambria" w:hAnsi="Cambria"/>
                <w:sz w:val="20"/>
                <w:szCs w:val="20"/>
              </w:rPr>
              <w:t xml:space="preserve"> el 50% de la inversión </w:t>
            </w:r>
            <w:r w:rsidRPr="00645974">
              <w:rPr>
                <w:rFonts w:ascii="Cambria" w:hAnsi="Cambria"/>
                <w:sz w:val="20"/>
                <w:szCs w:val="20"/>
                <w:highlight w:val="yellow"/>
              </w:rPr>
              <w:t>efectivament</w:t>
            </w:r>
            <w:r w:rsidRPr="00645974">
              <w:rPr>
                <w:rFonts w:ascii="Cambria" w:hAnsi="Cambria"/>
                <w:sz w:val="20"/>
                <w:szCs w:val="20"/>
              </w:rPr>
              <w:t xml:space="preserve">e realizada, </w:t>
            </w:r>
            <w:r w:rsidRPr="00645974">
              <w:rPr>
                <w:rFonts w:ascii="Cambria" w:hAnsi="Cambria"/>
                <w:sz w:val="20"/>
                <w:szCs w:val="20"/>
                <w:highlight w:val="yellow"/>
              </w:rPr>
              <w:t>en los términos del referido artículo y bajo las siguientes condiciones</w:t>
            </w:r>
            <w:r w:rsidRPr="00645974">
              <w:rPr>
                <w:rFonts w:ascii="Cambria" w:hAnsi="Cambria"/>
                <w:sz w:val="20"/>
                <w:szCs w:val="20"/>
              </w:rPr>
              <w:t xml:space="preserve">: </w:t>
            </w:r>
          </w:p>
          <w:p w:rsidR="00645974" w:rsidRDefault="00645974" w:rsidP="00645974">
            <w:pPr>
              <w:jc w:val="both"/>
              <w:rPr>
                <w:rFonts w:ascii="Cambria" w:hAnsi="Cambria"/>
                <w:sz w:val="20"/>
                <w:szCs w:val="20"/>
              </w:rPr>
            </w:pPr>
          </w:p>
          <w:p w:rsidR="00645974" w:rsidRPr="00645974" w:rsidRDefault="00645974" w:rsidP="00645974">
            <w:pPr>
              <w:jc w:val="both"/>
              <w:rPr>
                <w:rFonts w:ascii="Cambria" w:hAnsi="Cambria"/>
                <w:sz w:val="20"/>
                <w:szCs w:val="20"/>
              </w:rPr>
            </w:pPr>
            <w:r w:rsidRPr="00645974">
              <w:rPr>
                <w:rFonts w:ascii="Cambria" w:hAnsi="Cambria"/>
                <w:sz w:val="20"/>
                <w:szCs w:val="20"/>
                <w:highlight w:val="yellow"/>
              </w:rPr>
              <w:t>1. Para efectos de la emisión del bono, la persona o entidad emisora deberá contar con la certificación expedida por la UPME sobre el carácter de proyecto de generación de energía a partir de Fuentes No Convencionales de Energía - FNCE- o como acción o medida de gestión eficiente de la energía de la inversión.</w:t>
            </w:r>
            <w:r w:rsidRPr="00645974">
              <w:rPr>
                <w:rFonts w:ascii="Cambria" w:hAnsi="Cambria"/>
                <w:sz w:val="20"/>
                <w:szCs w:val="20"/>
              </w:rPr>
              <w:t xml:space="preserve"> </w:t>
            </w:r>
          </w:p>
          <w:p w:rsidR="00645974" w:rsidRDefault="00645974" w:rsidP="00645974">
            <w:pPr>
              <w:jc w:val="both"/>
              <w:rPr>
                <w:rFonts w:ascii="Cambria" w:hAnsi="Cambria"/>
                <w:sz w:val="20"/>
                <w:szCs w:val="20"/>
              </w:rPr>
            </w:pPr>
          </w:p>
          <w:p w:rsidR="00645974" w:rsidRPr="00645974" w:rsidRDefault="00645974" w:rsidP="00645974">
            <w:pPr>
              <w:jc w:val="both"/>
              <w:rPr>
                <w:rFonts w:ascii="Cambria" w:hAnsi="Cambria"/>
                <w:sz w:val="20"/>
                <w:szCs w:val="20"/>
              </w:rPr>
            </w:pPr>
            <w:r w:rsidRPr="00645974">
              <w:rPr>
                <w:rFonts w:ascii="Cambria" w:hAnsi="Cambria"/>
                <w:sz w:val="20"/>
                <w:szCs w:val="20"/>
                <w:highlight w:val="yellow"/>
              </w:rPr>
              <w:t>2. El bono tendrá como término para su redención, un periodo no mayor de 15 años para uso del beneficio, según conste en el certificado expedido por la UPME en el que se otorgó el referido beneficio, contados a partir del año siguiente a aquel en que haya entrado en operación la inversión. Para tal fin, el emisor en el texto del bono indicará la fecha exacta en que entró a operar la inversión correspondiente. El tenedor podrá solicitar la deducción en cualquier año o años, siempre que esté o estén comprendidos en el periodo de años de vigencia para uso del beneficio según certificado expedido por la UPME.</w:t>
            </w:r>
            <w:r w:rsidRPr="00645974">
              <w:rPr>
                <w:rFonts w:ascii="Cambria" w:hAnsi="Cambria"/>
                <w:sz w:val="20"/>
                <w:szCs w:val="20"/>
              </w:rPr>
              <w:t xml:space="preserve"> </w:t>
            </w:r>
          </w:p>
          <w:p w:rsidR="00645974" w:rsidRDefault="00645974" w:rsidP="00645974">
            <w:pPr>
              <w:jc w:val="both"/>
              <w:rPr>
                <w:rFonts w:ascii="Cambria" w:hAnsi="Cambria"/>
                <w:sz w:val="20"/>
                <w:szCs w:val="20"/>
              </w:rPr>
            </w:pP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3. El monto de la inversión susceptible de representar en bonos de transición energética será aquel que aparezca en el certificado expedido por la UPME. </w:t>
            </w:r>
          </w:p>
          <w:p w:rsidR="00645974" w:rsidRPr="00645974" w:rsidRDefault="00645974" w:rsidP="00645974">
            <w:pPr>
              <w:jc w:val="both"/>
              <w:rPr>
                <w:rFonts w:ascii="Cambria" w:hAnsi="Cambria"/>
                <w:sz w:val="20"/>
                <w:szCs w:val="20"/>
                <w:highlight w:val="yellow"/>
              </w:rPr>
            </w:pP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4. La persona o entidad que realice la inversión podrá expedir bonos de transición energética, por un valor facial no superior al 50% del importe de la inversión efectivamente realizada. </w:t>
            </w:r>
          </w:p>
          <w:p w:rsidR="00645974" w:rsidRPr="00645974" w:rsidRDefault="00645974" w:rsidP="00645974">
            <w:pPr>
              <w:jc w:val="both"/>
              <w:rPr>
                <w:rFonts w:ascii="Cambria" w:hAnsi="Cambria"/>
                <w:sz w:val="20"/>
                <w:szCs w:val="20"/>
                <w:highlight w:val="yellow"/>
              </w:rPr>
            </w:pP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5. El bono podrá circular mediante endoso, pero el endosante, al suscribir el endoso indicará, en el cuerpo del título, el saldo pendiente por usar de este beneficio el cual se tendrá como valor facial actual del bono y sustituirá al valor facial previo al endoso. </w:t>
            </w:r>
          </w:p>
          <w:p w:rsidR="00645974" w:rsidRPr="00645974" w:rsidRDefault="00645974" w:rsidP="00645974">
            <w:pPr>
              <w:jc w:val="both"/>
              <w:rPr>
                <w:rFonts w:ascii="Cambria" w:hAnsi="Cambria"/>
                <w:sz w:val="20"/>
                <w:szCs w:val="20"/>
                <w:highlight w:val="yellow"/>
              </w:rPr>
            </w:pP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6. Se entenderá como saldo pendiente por usar el importe bruto o neto del 50% de la inversión a que aquí se alude que el emisor no descontó como beneficio en las declaraciones del impuesto sobre la renta. </w:t>
            </w:r>
          </w:p>
          <w:p w:rsidR="00645974" w:rsidRPr="00645974" w:rsidRDefault="00645974" w:rsidP="00645974">
            <w:pPr>
              <w:jc w:val="both"/>
              <w:rPr>
                <w:rFonts w:ascii="Cambria" w:hAnsi="Cambria"/>
                <w:sz w:val="20"/>
                <w:szCs w:val="20"/>
                <w:highlight w:val="yellow"/>
              </w:rPr>
            </w:pP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7. En el momento que tenga lugar la venta efectiva del Bono, el emisor del bono no podrá solicitar la deducción especial del 50% respecto del monto de la inversión representado en el bono. </w:t>
            </w:r>
          </w:p>
          <w:p w:rsidR="00645974" w:rsidRPr="00645974" w:rsidRDefault="00645974" w:rsidP="00645974">
            <w:pPr>
              <w:jc w:val="both"/>
              <w:rPr>
                <w:rFonts w:ascii="Cambria" w:hAnsi="Cambria"/>
                <w:sz w:val="20"/>
                <w:szCs w:val="20"/>
                <w:highlight w:val="yellow"/>
              </w:rPr>
            </w:pPr>
            <w:r w:rsidRPr="00645974">
              <w:rPr>
                <w:rFonts w:ascii="Cambria" w:hAnsi="Cambria"/>
                <w:sz w:val="20"/>
                <w:szCs w:val="20"/>
                <w:highlight w:val="yellow"/>
              </w:rPr>
              <w:t xml:space="preserve">8. Podrán expedirse bonos de transición energética por las inversiones realizadas con anterioridad a la presente ley que a la fecha de entrada en vigor de esta norma, no hubieren entrado en operación, y para inversiones realizadas con posterioridad a la expedición de esta ley. </w:t>
            </w:r>
          </w:p>
          <w:p w:rsidR="00645974" w:rsidRPr="00645974" w:rsidRDefault="00645974" w:rsidP="00645974">
            <w:pPr>
              <w:jc w:val="both"/>
              <w:rPr>
                <w:rFonts w:ascii="Cambria" w:hAnsi="Cambria"/>
                <w:sz w:val="20"/>
                <w:szCs w:val="20"/>
                <w:highlight w:val="yellow"/>
              </w:rPr>
            </w:pPr>
          </w:p>
          <w:p w:rsidR="00693B4F" w:rsidRDefault="00645974" w:rsidP="00645974">
            <w:pPr>
              <w:jc w:val="both"/>
              <w:rPr>
                <w:rFonts w:ascii="Cambria" w:hAnsi="Cambria"/>
                <w:sz w:val="20"/>
                <w:szCs w:val="20"/>
              </w:rPr>
            </w:pPr>
            <w:r w:rsidRPr="00645974">
              <w:rPr>
                <w:rFonts w:ascii="Cambria" w:hAnsi="Cambria"/>
                <w:sz w:val="20"/>
                <w:szCs w:val="20"/>
                <w:highlight w:val="yellow"/>
              </w:rPr>
              <w:t>Parágrafo. El valor para deducir por este concepto en ningún caso podrá ser superior al 50% de la renta líquida del contribuyente o adquiriente del bono, determinada antes de restar el valor de la inversión. Este incentivo aplica para proyectos de inversión que tiene como finalidad la generación de energía a partir de Fuentes No Convencionales de Energía -FNCE.</w:t>
            </w:r>
          </w:p>
          <w:p w:rsidR="00645974" w:rsidRPr="00645974" w:rsidRDefault="00645974" w:rsidP="00645974">
            <w:pPr>
              <w:jc w:val="both"/>
              <w:rPr>
                <w:rFonts w:ascii="Cambria" w:hAnsi="Cambria"/>
                <w:sz w:val="20"/>
                <w:szCs w:val="20"/>
                <w:lang w:val="es-ES"/>
              </w:rPr>
            </w:pPr>
          </w:p>
        </w:tc>
      </w:tr>
      <w:tr w:rsidR="00693B4F" w:rsidTr="0092734A">
        <w:tc>
          <w:tcPr>
            <w:tcW w:w="4414" w:type="dxa"/>
          </w:tcPr>
          <w:p w:rsidR="00A13699" w:rsidRDefault="00A13699" w:rsidP="00A13699">
            <w:pPr>
              <w:jc w:val="both"/>
              <w:rPr>
                <w:rFonts w:ascii="Cambria" w:hAnsi="Cambria"/>
                <w:color w:val="4B4949"/>
                <w:sz w:val="20"/>
                <w:szCs w:val="20"/>
              </w:rPr>
            </w:pPr>
            <w:r w:rsidRPr="00A13699">
              <w:rPr>
                <w:rFonts w:ascii="Cambria" w:hAnsi="Cambria"/>
                <w:b/>
                <w:bCs/>
                <w:sz w:val="20"/>
                <w:szCs w:val="20"/>
              </w:rPr>
              <w:lastRenderedPageBreak/>
              <w:t xml:space="preserve">Artículo 12. </w:t>
            </w:r>
            <w:r w:rsidRPr="00A13699">
              <w:rPr>
                <w:rFonts w:ascii="Cambria" w:hAnsi="Cambria"/>
                <w:b/>
                <w:bCs/>
                <w:sz w:val="20"/>
                <w:szCs w:val="20"/>
                <w:highlight w:val="yellow"/>
              </w:rPr>
              <w:t>Exclusión</w:t>
            </w:r>
            <w:r w:rsidRPr="00A13699">
              <w:rPr>
                <w:rFonts w:ascii="Cambria" w:hAnsi="Cambria"/>
                <w:b/>
                <w:bCs/>
                <w:sz w:val="20"/>
                <w:szCs w:val="20"/>
              </w:rPr>
              <w:t xml:space="preserve"> del impuesto a las ventas (</w:t>
            </w:r>
            <w:proofErr w:type="spellStart"/>
            <w:r w:rsidRPr="00A13699">
              <w:rPr>
                <w:rFonts w:ascii="Cambria" w:hAnsi="Cambria"/>
                <w:b/>
                <w:bCs/>
                <w:sz w:val="20"/>
                <w:szCs w:val="20"/>
              </w:rPr>
              <w:t>iva</w:t>
            </w:r>
            <w:proofErr w:type="spellEnd"/>
            <w:r w:rsidRPr="00A13699">
              <w:rPr>
                <w:rFonts w:ascii="Cambria" w:hAnsi="Cambria"/>
                <w:b/>
                <w:bCs/>
                <w:sz w:val="20"/>
                <w:szCs w:val="20"/>
              </w:rPr>
              <w:t xml:space="preserve">) en la adquisición de bienes y servicios para el desarrollo de proyectos de generación con </w:t>
            </w:r>
            <w:proofErr w:type="spellStart"/>
            <w:r w:rsidRPr="00A13699">
              <w:rPr>
                <w:rFonts w:ascii="Cambria" w:hAnsi="Cambria"/>
                <w:b/>
                <w:bCs/>
                <w:sz w:val="20"/>
                <w:szCs w:val="20"/>
              </w:rPr>
              <w:t>fnce</w:t>
            </w:r>
            <w:proofErr w:type="spellEnd"/>
            <w:r w:rsidRPr="00A13699">
              <w:rPr>
                <w:rFonts w:ascii="Cambria" w:hAnsi="Cambria"/>
                <w:b/>
                <w:bCs/>
                <w:sz w:val="20"/>
                <w:szCs w:val="20"/>
              </w:rPr>
              <w:t xml:space="preserve"> y gestión eficiente de la energía</w:t>
            </w:r>
            <w:r w:rsidRPr="00A13699">
              <w:rPr>
                <w:rFonts w:ascii="Cambria" w:hAnsi="Cambria"/>
                <w:sz w:val="20"/>
                <w:szCs w:val="20"/>
              </w:rPr>
              <w:t>.</w:t>
            </w:r>
            <w:r w:rsidRPr="00A13699">
              <w:rPr>
                <w:rFonts w:ascii="Cambria" w:hAnsi="Cambria"/>
                <w:color w:val="4B4949"/>
                <w:sz w:val="20"/>
                <w:szCs w:val="20"/>
              </w:rPr>
              <w:t xml:space="preserve">  Para fomentar el uso de la energía procedente de fuentes no convencionales de energía FNCE y la gestión eficiente de energía, los equipos, elementos, maquinaria y servicios nacionales o importados que se destinen a la </w:t>
            </w:r>
            <w:proofErr w:type="spellStart"/>
            <w:r w:rsidRPr="00A13699">
              <w:rPr>
                <w:rFonts w:ascii="Cambria" w:hAnsi="Cambria"/>
                <w:color w:val="4B4949"/>
                <w:sz w:val="20"/>
                <w:szCs w:val="20"/>
              </w:rPr>
              <w:t>preinversión</w:t>
            </w:r>
            <w:proofErr w:type="spellEnd"/>
            <w:r w:rsidRPr="00A13699">
              <w:rPr>
                <w:rFonts w:ascii="Cambria" w:hAnsi="Cambria"/>
                <w:color w:val="4B4949"/>
                <w:sz w:val="20"/>
                <w:szCs w:val="20"/>
              </w:rPr>
              <w:t xml:space="preserve"> e inversión, para la producción y </w:t>
            </w:r>
            <w:r w:rsidRPr="00A13699">
              <w:rPr>
                <w:rFonts w:ascii="Cambria" w:hAnsi="Cambria"/>
                <w:color w:val="4B4949"/>
                <w:sz w:val="20"/>
                <w:szCs w:val="20"/>
              </w:rPr>
              <w:lastRenderedPageBreak/>
              <w:t>utilización de energía a partir de las fuentes no convencionales, así como para la medición y evaluación de los potenciales recursos, y para adelantar las acciones y medidas de gestión eficiente de la energía, incluyendo los equipos de medición inteligente, que se encuentren en el Programa de Uso Racional y Eficiente de Energía y Fuentes No Convencionales (</w:t>
            </w:r>
            <w:proofErr w:type="spellStart"/>
            <w:r w:rsidRPr="00A13699">
              <w:rPr>
                <w:rFonts w:ascii="Cambria" w:hAnsi="Cambria"/>
                <w:color w:val="4B4949"/>
                <w:sz w:val="20"/>
                <w:szCs w:val="20"/>
              </w:rPr>
              <w:t>Proure</w:t>
            </w:r>
            <w:proofErr w:type="spellEnd"/>
            <w:r w:rsidRPr="00A13699">
              <w:rPr>
                <w:rFonts w:ascii="Cambria" w:hAnsi="Cambria"/>
                <w:color w:val="4B4949"/>
                <w:sz w:val="20"/>
                <w:szCs w:val="20"/>
              </w:rPr>
              <w:t xml:space="preserve">) estarán </w:t>
            </w:r>
            <w:r w:rsidRPr="00A13699">
              <w:rPr>
                <w:rFonts w:ascii="Cambria" w:hAnsi="Cambria"/>
                <w:color w:val="4B4949"/>
                <w:sz w:val="20"/>
                <w:szCs w:val="20"/>
                <w:highlight w:val="yellow"/>
              </w:rPr>
              <w:t>excluidos</w:t>
            </w:r>
            <w:r w:rsidRPr="00A13699">
              <w:rPr>
                <w:rFonts w:ascii="Cambria" w:hAnsi="Cambria"/>
                <w:color w:val="4B4949"/>
                <w:sz w:val="20"/>
                <w:szCs w:val="20"/>
              </w:rPr>
              <w:t xml:space="preserve"> del IVA.</w:t>
            </w:r>
          </w:p>
          <w:p w:rsidR="00A13699" w:rsidRDefault="00A13699" w:rsidP="00A13699">
            <w:pPr>
              <w:jc w:val="both"/>
              <w:rPr>
                <w:rFonts w:ascii="Cambria" w:hAnsi="Cambria"/>
                <w:color w:val="4B4949"/>
                <w:sz w:val="20"/>
                <w:szCs w:val="20"/>
              </w:rPr>
            </w:pPr>
          </w:p>
          <w:p w:rsidR="00A13699" w:rsidRPr="00A13699" w:rsidRDefault="00A13699" w:rsidP="00A13699">
            <w:pPr>
              <w:jc w:val="both"/>
              <w:rPr>
                <w:rFonts w:ascii="Cambria" w:hAnsi="Cambria"/>
                <w:color w:val="4B4949"/>
                <w:sz w:val="20"/>
                <w:szCs w:val="20"/>
              </w:rPr>
            </w:pPr>
          </w:p>
          <w:p w:rsidR="00A13699" w:rsidRDefault="00A13699" w:rsidP="00A13699">
            <w:pPr>
              <w:jc w:val="both"/>
              <w:rPr>
                <w:rFonts w:ascii="Cambria" w:hAnsi="Cambria"/>
                <w:color w:val="4B4949"/>
                <w:sz w:val="20"/>
                <w:szCs w:val="20"/>
              </w:rPr>
            </w:pPr>
            <w:r w:rsidRPr="00A13699">
              <w:rPr>
                <w:rFonts w:ascii="Cambria" w:hAnsi="Cambria"/>
                <w:color w:val="4B4949"/>
                <w:sz w:val="20"/>
                <w:szCs w:val="20"/>
              </w:rPr>
              <w:t>Este beneficio también será aplicable a todos los servicios prestados en Colombia o en el exterior que tengan la misma destinación prevista en el inciso anterior.</w:t>
            </w:r>
          </w:p>
          <w:p w:rsidR="00A13699" w:rsidRPr="00A13699" w:rsidRDefault="00A13699" w:rsidP="00A13699">
            <w:pPr>
              <w:jc w:val="both"/>
              <w:rPr>
                <w:rFonts w:ascii="Cambria" w:hAnsi="Cambria"/>
                <w:color w:val="4B4949"/>
                <w:sz w:val="20"/>
                <w:szCs w:val="20"/>
              </w:rPr>
            </w:pPr>
          </w:p>
          <w:p w:rsidR="00A13699" w:rsidRPr="00A13699" w:rsidRDefault="00A13699" w:rsidP="00A13699">
            <w:pPr>
              <w:jc w:val="both"/>
              <w:rPr>
                <w:rFonts w:ascii="Cambria" w:hAnsi="Cambria"/>
                <w:color w:val="4B4949"/>
                <w:sz w:val="20"/>
                <w:szCs w:val="20"/>
              </w:rPr>
            </w:pPr>
            <w:r w:rsidRPr="00A13699">
              <w:rPr>
                <w:rFonts w:ascii="Cambria" w:hAnsi="Cambria"/>
                <w:color w:val="4B4949"/>
                <w:sz w:val="20"/>
                <w:szCs w:val="20"/>
              </w:rPr>
              <w:t>Para tal efecto, la inversión deberá ser evaluada y certificada como proyecto de generación de energía eléctrica a partir de fuentes no convencionales de energía (FNCE) o como acción o medida de gestión eficiente de la energía por la Unidad de Planeación Minero Energética - UPME.</w:t>
            </w:r>
          </w:p>
          <w:p w:rsidR="00A13699" w:rsidRDefault="00A13699" w:rsidP="00A13699">
            <w:pPr>
              <w:jc w:val="both"/>
              <w:rPr>
                <w:rStyle w:val="baj"/>
                <w:rFonts w:ascii="Cambria" w:hAnsi="Cambria" w:cs="Open Sans"/>
                <w:b/>
                <w:bCs/>
                <w:color w:val="000000"/>
                <w:sz w:val="20"/>
                <w:szCs w:val="20"/>
              </w:rPr>
            </w:pPr>
          </w:p>
          <w:p w:rsidR="00A13699" w:rsidRPr="00A13699" w:rsidRDefault="00A13699" w:rsidP="00A13699">
            <w:pPr>
              <w:jc w:val="both"/>
              <w:rPr>
                <w:rFonts w:ascii="Cambria" w:hAnsi="Cambria"/>
                <w:color w:val="4B4949"/>
                <w:sz w:val="20"/>
                <w:szCs w:val="20"/>
              </w:rPr>
            </w:pPr>
            <w:r w:rsidRPr="00A13699">
              <w:rPr>
                <w:rStyle w:val="baj"/>
                <w:rFonts w:ascii="Cambria" w:hAnsi="Cambria" w:cs="Open Sans"/>
                <w:b/>
                <w:bCs/>
                <w:color w:val="000000"/>
                <w:sz w:val="20"/>
                <w:szCs w:val="20"/>
              </w:rPr>
              <w:t>PARÁGRAFO</w:t>
            </w:r>
            <w:r w:rsidRPr="00A13699">
              <w:rPr>
                <w:rFonts w:ascii="Cambria" w:hAnsi="Cambria"/>
                <w:color w:val="4B4949"/>
                <w:sz w:val="20"/>
                <w:szCs w:val="20"/>
              </w:rPr>
              <w:t>, En el caso de acciones y medidas de eficiencia de la energía, las mismas deberán aportar al cumplimiento de las metas dispuestas en el Plan de Acción Indicativo vigente, debidamente adoptado por el Ministerio de Minas y Energía.</w:t>
            </w:r>
          </w:p>
          <w:p w:rsidR="00693B4F" w:rsidRPr="00A13699" w:rsidRDefault="00693B4F" w:rsidP="00A13699">
            <w:pPr>
              <w:jc w:val="both"/>
              <w:rPr>
                <w:rFonts w:ascii="Cambria" w:hAnsi="Cambria"/>
                <w:sz w:val="20"/>
                <w:szCs w:val="20"/>
                <w:lang w:val="es-ES"/>
              </w:rPr>
            </w:pPr>
          </w:p>
        </w:tc>
        <w:tc>
          <w:tcPr>
            <w:tcW w:w="4414" w:type="dxa"/>
          </w:tcPr>
          <w:p w:rsidR="00A13699" w:rsidRDefault="00A13699" w:rsidP="00A13699">
            <w:pPr>
              <w:jc w:val="both"/>
              <w:rPr>
                <w:rFonts w:ascii="Cambria" w:hAnsi="Cambria"/>
                <w:sz w:val="20"/>
                <w:szCs w:val="20"/>
              </w:rPr>
            </w:pPr>
            <w:r w:rsidRPr="00A13699">
              <w:rPr>
                <w:rFonts w:ascii="Cambria" w:hAnsi="Cambria"/>
                <w:b/>
                <w:bCs/>
                <w:sz w:val="20"/>
                <w:szCs w:val="20"/>
              </w:rPr>
              <w:lastRenderedPageBreak/>
              <w:t xml:space="preserve">Artículo 12. </w:t>
            </w:r>
            <w:r w:rsidRPr="00A13699">
              <w:rPr>
                <w:rFonts w:ascii="Cambria" w:hAnsi="Cambria"/>
                <w:b/>
                <w:bCs/>
                <w:sz w:val="20"/>
                <w:szCs w:val="20"/>
                <w:highlight w:val="yellow"/>
              </w:rPr>
              <w:t>Exención</w:t>
            </w:r>
            <w:r w:rsidRPr="00A13699">
              <w:rPr>
                <w:rFonts w:ascii="Cambria" w:hAnsi="Cambria"/>
                <w:b/>
                <w:bCs/>
                <w:sz w:val="20"/>
                <w:szCs w:val="20"/>
              </w:rPr>
              <w:t xml:space="preserve"> del Impuesto a las Ventas - IVA en la adquisición de bienes y servicios para el desarrollo de proyectos de generación con FNCE y gestión eficiente de la energía</w:t>
            </w:r>
            <w:r>
              <w:rPr>
                <w:rFonts w:ascii="Cambria" w:hAnsi="Cambria"/>
                <w:b/>
                <w:bCs/>
                <w:sz w:val="20"/>
                <w:szCs w:val="20"/>
              </w:rPr>
              <w:t xml:space="preserve"> </w:t>
            </w:r>
            <w:r w:rsidRPr="00645974">
              <w:rPr>
                <w:rFonts w:ascii="Cambria" w:hAnsi="Cambria"/>
                <w:b/>
                <w:bCs/>
                <w:color w:val="FF0000"/>
                <w:sz w:val="20"/>
                <w:szCs w:val="20"/>
              </w:rPr>
              <w:t xml:space="preserve">(modificado con artículo </w:t>
            </w:r>
            <w:r>
              <w:rPr>
                <w:rFonts w:ascii="Cambria" w:hAnsi="Cambria"/>
                <w:b/>
                <w:bCs/>
                <w:color w:val="FF0000"/>
                <w:sz w:val="20"/>
                <w:szCs w:val="20"/>
              </w:rPr>
              <w:t>30</w:t>
            </w:r>
            <w:r w:rsidRPr="00645974">
              <w:rPr>
                <w:rFonts w:ascii="Cambria" w:hAnsi="Cambria"/>
                <w:b/>
                <w:bCs/>
                <w:color w:val="FF0000"/>
                <w:sz w:val="20"/>
                <w:szCs w:val="20"/>
              </w:rPr>
              <w:t xml:space="preserve"> del proyecto de </w:t>
            </w:r>
            <w:r w:rsidR="00852E78">
              <w:rPr>
                <w:rFonts w:ascii="Cambria" w:hAnsi="Cambria"/>
                <w:b/>
                <w:bCs/>
                <w:color w:val="FF0000"/>
                <w:sz w:val="20"/>
                <w:szCs w:val="20"/>
              </w:rPr>
              <w:t>Ley septiembre de 2025</w:t>
            </w:r>
            <w:r w:rsidRPr="00645974">
              <w:rPr>
                <w:rFonts w:ascii="Cambria" w:hAnsi="Cambria"/>
                <w:b/>
                <w:bCs/>
                <w:color w:val="FF0000"/>
                <w:sz w:val="20"/>
                <w:szCs w:val="20"/>
              </w:rPr>
              <w:t>)</w:t>
            </w:r>
            <w:r w:rsidRPr="00693B4F">
              <w:rPr>
                <w:rFonts w:ascii="Cambria" w:hAnsi="Cambria"/>
                <w:b/>
                <w:bCs/>
                <w:color w:val="BE9E55"/>
                <w:sz w:val="20"/>
                <w:szCs w:val="20"/>
              </w:rPr>
              <w:t>.</w:t>
            </w:r>
            <w:r w:rsidRPr="00693B4F">
              <w:rPr>
                <w:rFonts w:ascii="Cambria" w:hAnsi="Cambria"/>
                <w:sz w:val="20"/>
                <w:szCs w:val="20"/>
              </w:rPr>
              <w:t> </w:t>
            </w:r>
            <w:r w:rsidRPr="00A13699">
              <w:rPr>
                <w:rFonts w:ascii="Cambria" w:hAnsi="Cambria"/>
                <w:sz w:val="20"/>
                <w:szCs w:val="20"/>
              </w:rPr>
              <w:t xml:space="preserve">. Para fomentar el uso de la energía procedente de fuentes no convencionales de energía - FNCE y la gestión eficiente de energía, los equipos, elementos, maquinaria y servicios nacionales o </w:t>
            </w:r>
            <w:r w:rsidRPr="00A13699">
              <w:rPr>
                <w:rFonts w:ascii="Cambria" w:hAnsi="Cambria"/>
                <w:sz w:val="20"/>
                <w:szCs w:val="20"/>
              </w:rPr>
              <w:lastRenderedPageBreak/>
              <w:t xml:space="preserve">importados que se destinen a la </w:t>
            </w:r>
            <w:proofErr w:type="spellStart"/>
            <w:r w:rsidRPr="00A13699">
              <w:rPr>
                <w:rFonts w:ascii="Cambria" w:hAnsi="Cambria"/>
                <w:sz w:val="20"/>
                <w:szCs w:val="20"/>
              </w:rPr>
              <w:t>preinversión</w:t>
            </w:r>
            <w:proofErr w:type="spellEnd"/>
            <w:r w:rsidRPr="00A13699">
              <w:rPr>
                <w:rFonts w:ascii="Cambria" w:hAnsi="Cambria"/>
                <w:sz w:val="20"/>
                <w:szCs w:val="20"/>
              </w:rPr>
              <w:t xml:space="preserve"> e inversión, para la producción y utilización de energía a partir de las fuentes no convencionales, así como para la medición y evaluación de los potenciales recursos, y para adelantar las acciones y medidas de gestión eficiente de la energía, incluyendo los equipos de medición inteligente, que se encuentren en el Programa de Uso Racional y Eficiente de energía y Fuentes No Convencionales - PROURE estarán </w:t>
            </w:r>
            <w:r w:rsidRPr="00A13699">
              <w:rPr>
                <w:rFonts w:ascii="Cambria" w:hAnsi="Cambria"/>
                <w:sz w:val="20"/>
                <w:szCs w:val="20"/>
                <w:highlight w:val="yellow"/>
              </w:rPr>
              <w:t>exentos</w:t>
            </w:r>
            <w:r w:rsidRPr="00A13699">
              <w:rPr>
                <w:rFonts w:ascii="Cambria" w:hAnsi="Cambria"/>
                <w:sz w:val="20"/>
                <w:szCs w:val="20"/>
              </w:rPr>
              <w:t xml:space="preserve"> del IVA. </w:t>
            </w:r>
          </w:p>
          <w:p w:rsidR="00A13699" w:rsidRPr="00A13699" w:rsidRDefault="00A13699" w:rsidP="00A13699">
            <w:pPr>
              <w:jc w:val="both"/>
              <w:rPr>
                <w:rFonts w:ascii="Cambria" w:hAnsi="Cambria"/>
                <w:sz w:val="20"/>
                <w:szCs w:val="20"/>
              </w:rPr>
            </w:pPr>
          </w:p>
          <w:p w:rsidR="00A13699" w:rsidRDefault="00A13699" w:rsidP="00A13699">
            <w:pPr>
              <w:jc w:val="both"/>
              <w:rPr>
                <w:rFonts w:ascii="Cambria" w:hAnsi="Cambria"/>
                <w:sz w:val="20"/>
                <w:szCs w:val="20"/>
              </w:rPr>
            </w:pPr>
            <w:r w:rsidRPr="00A13699">
              <w:rPr>
                <w:rFonts w:ascii="Cambria" w:hAnsi="Cambria"/>
                <w:sz w:val="20"/>
                <w:szCs w:val="20"/>
              </w:rPr>
              <w:t xml:space="preserve">Este beneficio también será aplicable a todos los servicios prestados en Colombia o en el exterior que tengan la misma destinación prevista en el inciso anterior. </w:t>
            </w:r>
          </w:p>
          <w:p w:rsidR="00A13699" w:rsidRPr="00A13699" w:rsidRDefault="00A13699" w:rsidP="00A13699">
            <w:pPr>
              <w:jc w:val="both"/>
              <w:rPr>
                <w:rFonts w:ascii="Cambria" w:hAnsi="Cambria"/>
                <w:sz w:val="20"/>
                <w:szCs w:val="20"/>
              </w:rPr>
            </w:pPr>
          </w:p>
          <w:p w:rsidR="00A13699" w:rsidRPr="00A13699" w:rsidRDefault="00A13699" w:rsidP="00A13699">
            <w:pPr>
              <w:jc w:val="both"/>
              <w:rPr>
                <w:rFonts w:ascii="Cambria" w:hAnsi="Cambria"/>
                <w:sz w:val="20"/>
                <w:szCs w:val="20"/>
              </w:rPr>
            </w:pPr>
            <w:r w:rsidRPr="00A13699">
              <w:rPr>
                <w:rFonts w:ascii="Cambria" w:hAnsi="Cambria"/>
                <w:sz w:val="20"/>
                <w:szCs w:val="20"/>
              </w:rPr>
              <w:t xml:space="preserve">Para tal efecto, la inversión deberá ser evaluada y certificada como proyecto de generación de energía eléctrica a partir de fuentes no convencionales de energía -FNCE o como acción o medida de gestión eficiente de la energía por la Unidad de Planeación Minero-Energética - UPME. </w:t>
            </w:r>
          </w:p>
          <w:p w:rsidR="00A13699" w:rsidRDefault="00A13699" w:rsidP="00A13699">
            <w:pPr>
              <w:jc w:val="both"/>
              <w:rPr>
                <w:rFonts w:ascii="Cambria" w:hAnsi="Cambria"/>
                <w:sz w:val="20"/>
                <w:szCs w:val="20"/>
              </w:rPr>
            </w:pPr>
          </w:p>
          <w:p w:rsidR="00693B4F" w:rsidRPr="00A13699" w:rsidRDefault="00A13699" w:rsidP="00A13699">
            <w:pPr>
              <w:jc w:val="both"/>
              <w:rPr>
                <w:rFonts w:ascii="Cambria" w:hAnsi="Cambria"/>
                <w:sz w:val="20"/>
                <w:szCs w:val="20"/>
                <w:lang w:val="es-ES"/>
              </w:rPr>
            </w:pPr>
            <w:r w:rsidRPr="00A13699">
              <w:rPr>
                <w:rFonts w:ascii="Cambria" w:hAnsi="Cambria"/>
                <w:sz w:val="20"/>
                <w:szCs w:val="20"/>
              </w:rPr>
              <w:t xml:space="preserve">Parágrafo. En el caso de acciones y medidas de eficiencia de la energía, las mismas deberán aportar al cumplimiento de las metas dispuestas en el Plan de Acción Indicativo vigente, debidamente adoptado por el Ministerio de Minas y energía. </w:t>
            </w:r>
          </w:p>
        </w:tc>
      </w:tr>
    </w:tbl>
    <w:p w:rsidR="004E245C" w:rsidRDefault="004E245C" w:rsidP="009E279D"/>
    <w:p w:rsidR="00A13699" w:rsidRPr="00A13699" w:rsidRDefault="00A13699" w:rsidP="009E279D">
      <w:pPr>
        <w:rPr>
          <w:rFonts w:ascii="Calibri" w:hAnsi="Calibri"/>
          <w:b/>
          <w:color w:val="FF0000"/>
          <w:lang w:val="es-ES"/>
        </w:rPr>
      </w:pPr>
      <w:r w:rsidRPr="00A13699">
        <w:rPr>
          <w:rFonts w:ascii="Calibri" w:hAnsi="Calibri"/>
          <w:b/>
          <w:color w:val="FF0000"/>
          <w:lang w:val="es-ES"/>
        </w:rPr>
        <w:t xml:space="preserve">Ley 1816 de diciembre 19 de 2016 </w:t>
      </w:r>
      <w:r>
        <w:rPr>
          <w:rFonts w:ascii="Calibri" w:hAnsi="Calibri"/>
          <w:b/>
          <w:color w:val="FF0000"/>
          <w:lang w:val="es-ES"/>
        </w:rPr>
        <w:t>(</w:t>
      </w:r>
      <w:r w:rsidRPr="00A13699">
        <w:rPr>
          <w:rFonts w:ascii="Calibri" w:hAnsi="Calibri"/>
          <w:b/>
          <w:color w:val="FF0000"/>
          <w:lang w:val="es-ES"/>
        </w:rPr>
        <w:t>Por la cual se fija el régimen propio del monopolio rentístico de licores destilados, se modifica el impuesto al consumo de licores, vinos, aperitivos y similares, y se dictan otras disposiciones</w:t>
      </w:r>
      <w:r>
        <w:rPr>
          <w:rFonts w:ascii="Calibri" w:hAnsi="Calibri"/>
          <w:b/>
          <w:color w:val="FF0000"/>
          <w:lang w:val="es-ES"/>
        </w:rPr>
        <w:t>)</w:t>
      </w:r>
    </w:p>
    <w:p w:rsidR="00A13699" w:rsidRDefault="00A13699" w:rsidP="009E279D"/>
    <w:tbl>
      <w:tblPr>
        <w:tblStyle w:val="Tablaconcuadrcula"/>
        <w:tblW w:w="0" w:type="auto"/>
        <w:tblLook w:val="04A0" w:firstRow="1" w:lastRow="0" w:firstColumn="1" w:lastColumn="0" w:noHBand="0" w:noVBand="1"/>
      </w:tblPr>
      <w:tblGrid>
        <w:gridCol w:w="4414"/>
        <w:gridCol w:w="4414"/>
      </w:tblGrid>
      <w:tr w:rsidR="009E279D" w:rsidRPr="0065720A" w:rsidTr="0092734A">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9E279D" w:rsidRPr="001D7901" w:rsidRDefault="009E279D" w:rsidP="009E279D">
            <w:pPr>
              <w:jc w:val="center"/>
              <w:rPr>
                <w:rFonts w:ascii="Cambria" w:hAnsi="Cambria"/>
                <w:b/>
                <w:bCs/>
                <w:sz w:val="20"/>
                <w:szCs w:val="20"/>
              </w:rPr>
            </w:pPr>
            <w:r w:rsidRPr="001D7901">
              <w:rPr>
                <w:rFonts w:ascii="Cambria" w:hAnsi="Cambria"/>
                <w:b/>
                <w:bCs/>
                <w:sz w:val="20"/>
                <w:szCs w:val="20"/>
              </w:rPr>
              <w:t>Nueva versión con que quedaría la norma</w:t>
            </w:r>
          </w:p>
        </w:tc>
      </w:tr>
      <w:tr w:rsidR="009E279D" w:rsidTr="0092734A">
        <w:tc>
          <w:tcPr>
            <w:tcW w:w="4414" w:type="dxa"/>
          </w:tcPr>
          <w:p w:rsidR="00FB67F6" w:rsidRPr="00FB67F6" w:rsidRDefault="00FB67F6" w:rsidP="00FB67F6">
            <w:pPr>
              <w:jc w:val="both"/>
              <w:rPr>
                <w:rFonts w:ascii="Cambria" w:hAnsi="Cambria"/>
                <w:sz w:val="20"/>
                <w:szCs w:val="20"/>
              </w:rPr>
            </w:pPr>
            <w:bookmarkStart w:id="62" w:name="32"/>
            <w:r w:rsidRPr="00FB67F6">
              <w:rPr>
                <w:rFonts w:ascii="Cambria" w:hAnsi="Cambria"/>
                <w:b/>
                <w:bCs/>
                <w:color w:val="000000" w:themeColor="text1"/>
                <w:sz w:val="20"/>
                <w:szCs w:val="20"/>
              </w:rPr>
              <w:t>Artículo 32</w:t>
            </w:r>
            <w:r w:rsidRPr="00FB67F6">
              <w:rPr>
                <w:rFonts w:ascii="Cambria" w:hAnsi="Cambria"/>
                <w:b/>
                <w:bCs/>
                <w:color w:val="BE9E55"/>
                <w:sz w:val="20"/>
                <w:szCs w:val="20"/>
              </w:rPr>
              <w:t>.</w:t>
            </w:r>
            <w:bookmarkEnd w:id="62"/>
            <w:r w:rsidRPr="00FB67F6">
              <w:rPr>
                <w:rFonts w:ascii="Cambria" w:hAnsi="Cambria"/>
                <w:sz w:val="20"/>
                <w:szCs w:val="20"/>
              </w:rPr>
              <w:t> Adiciónese un parágrafo al artículo </w:t>
            </w:r>
            <w:r w:rsidRPr="00FB67F6">
              <w:rPr>
                <w:rFonts w:ascii="Cambria" w:hAnsi="Cambria" w:cs="Open Sans"/>
                <w:sz w:val="20"/>
                <w:szCs w:val="20"/>
              </w:rPr>
              <w:t>468-1</w:t>
            </w:r>
            <w:r w:rsidRPr="00FB67F6">
              <w:rPr>
                <w:rFonts w:ascii="Cambria" w:hAnsi="Cambria"/>
                <w:sz w:val="20"/>
                <w:szCs w:val="20"/>
              </w:rPr>
              <w:t> al Estatuto Tributario, el cual quedará así:</w:t>
            </w:r>
          </w:p>
          <w:p w:rsidR="00FB67F6" w:rsidRPr="00FB67F6" w:rsidRDefault="00FB67F6" w:rsidP="00FB67F6">
            <w:pPr>
              <w:jc w:val="both"/>
              <w:rPr>
                <w:rStyle w:val="iaj"/>
                <w:rFonts w:ascii="Cambria" w:hAnsi="Cambria" w:cs="Arial"/>
                <w:b/>
                <w:bCs/>
                <w:color w:val="008400"/>
                <w:sz w:val="20"/>
                <w:szCs w:val="20"/>
              </w:rPr>
            </w:pPr>
          </w:p>
          <w:p w:rsidR="00FB67F6" w:rsidRPr="00FB67F6" w:rsidRDefault="00FB67F6" w:rsidP="00FB67F6">
            <w:pPr>
              <w:jc w:val="both"/>
              <w:rPr>
                <w:rFonts w:ascii="Cambria" w:hAnsi="Cambria"/>
                <w:sz w:val="20"/>
                <w:szCs w:val="20"/>
              </w:rPr>
            </w:pPr>
            <w:r w:rsidRPr="00FB67F6">
              <w:rPr>
                <w:rStyle w:val="iaj"/>
                <w:rFonts w:ascii="Cambria" w:hAnsi="Cambria" w:cs="Arial"/>
                <w:b/>
                <w:bCs/>
                <w:color w:val="008400"/>
                <w:sz w:val="20"/>
                <w:szCs w:val="20"/>
              </w:rPr>
              <w:t>PARÁGRAFO.</w:t>
            </w:r>
            <w:r w:rsidRPr="00FB67F6">
              <w:rPr>
                <w:rStyle w:val="iaj"/>
                <w:rFonts w:ascii="Cambria" w:hAnsi="Cambria" w:cs="Open Sans"/>
                <w:color w:val="4B4949"/>
                <w:sz w:val="20"/>
                <w:szCs w:val="20"/>
              </w:rPr>
              <w:t> </w:t>
            </w:r>
            <w:r w:rsidRPr="00FB67F6">
              <w:rPr>
                <w:rStyle w:val="iaj"/>
                <w:rFonts w:ascii="Cambria" w:hAnsi="Cambria" w:cs="Open Sans"/>
                <w:color w:val="4B4949"/>
                <w:sz w:val="20"/>
                <w:szCs w:val="20"/>
                <w:highlight w:val="yellow"/>
              </w:rPr>
              <w:t>A partir del 1o de enero de 2017</w:t>
            </w:r>
            <w:r w:rsidRPr="00FB67F6">
              <w:rPr>
                <w:rStyle w:val="iaj"/>
                <w:rFonts w:ascii="Cambria" w:hAnsi="Cambria" w:cs="Open Sans"/>
                <w:color w:val="4B4949"/>
                <w:sz w:val="20"/>
                <w:szCs w:val="20"/>
              </w:rPr>
              <w:t xml:space="preserve">, quedarán gravados con el impuesto sobre las ventas a la tarifa del </w:t>
            </w:r>
            <w:r w:rsidRPr="00FB67F6">
              <w:rPr>
                <w:rStyle w:val="iaj"/>
                <w:rFonts w:ascii="Cambria" w:hAnsi="Cambria" w:cs="Open Sans"/>
                <w:color w:val="4B4949"/>
                <w:sz w:val="20"/>
                <w:szCs w:val="20"/>
                <w:highlight w:val="yellow"/>
              </w:rPr>
              <w:t>5%</w:t>
            </w:r>
            <w:r w:rsidRPr="00FB67F6">
              <w:rPr>
                <w:rStyle w:val="iaj"/>
                <w:rFonts w:ascii="Cambria" w:hAnsi="Cambria" w:cs="Open Sans"/>
                <w:color w:val="4B4949"/>
                <w:sz w:val="20"/>
                <w:szCs w:val="20"/>
              </w:rPr>
              <w:t xml:space="preserve"> los bienes sujetos al impuesto al consumo de licores, vinos, aperitivos y similares de que trata el artículo 202 de la Ley 223 de 1995 y los que se encuentren sujetos al pago de la participación que aplique en los departamentos </w:t>
            </w:r>
            <w:r w:rsidRPr="00FB67F6">
              <w:rPr>
                <w:rStyle w:val="iaj"/>
                <w:rFonts w:ascii="Cambria" w:hAnsi="Cambria" w:cs="Open Sans"/>
                <w:color w:val="4B4949"/>
                <w:sz w:val="20"/>
                <w:szCs w:val="20"/>
                <w:highlight w:val="yellow"/>
              </w:rPr>
              <w:t>que así lo exijan.</w:t>
            </w:r>
          </w:p>
          <w:p w:rsidR="009E279D" w:rsidRPr="00FB67F6" w:rsidRDefault="009E279D" w:rsidP="00FB67F6">
            <w:pPr>
              <w:jc w:val="both"/>
              <w:rPr>
                <w:rFonts w:ascii="Cambria" w:hAnsi="Cambria"/>
                <w:sz w:val="20"/>
                <w:szCs w:val="20"/>
              </w:rPr>
            </w:pPr>
          </w:p>
        </w:tc>
        <w:tc>
          <w:tcPr>
            <w:tcW w:w="4414" w:type="dxa"/>
          </w:tcPr>
          <w:p w:rsidR="009E279D" w:rsidRPr="00FB67F6" w:rsidRDefault="00FB67F6" w:rsidP="00FB67F6">
            <w:pPr>
              <w:jc w:val="both"/>
              <w:rPr>
                <w:rFonts w:ascii="Cambria" w:hAnsi="Cambria"/>
                <w:sz w:val="20"/>
                <w:szCs w:val="20"/>
              </w:rPr>
            </w:pPr>
            <w:r w:rsidRPr="00FB67F6">
              <w:rPr>
                <w:rFonts w:ascii="Cambria" w:hAnsi="Cambria"/>
                <w:b/>
                <w:bCs/>
                <w:sz w:val="20"/>
                <w:szCs w:val="20"/>
              </w:rPr>
              <w:t>Artículo 32</w:t>
            </w:r>
            <w:r>
              <w:rPr>
                <w:rFonts w:ascii="Cambria" w:hAnsi="Cambria"/>
                <w:b/>
                <w:bCs/>
                <w:sz w:val="20"/>
                <w:szCs w:val="20"/>
              </w:rPr>
              <w:t xml:space="preserve"> </w:t>
            </w:r>
            <w:r w:rsidRPr="00645974">
              <w:rPr>
                <w:rFonts w:ascii="Cambria" w:hAnsi="Cambria"/>
                <w:b/>
                <w:bCs/>
                <w:color w:val="FF0000"/>
                <w:sz w:val="20"/>
                <w:szCs w:val="20"/>
              </w:rPr>
              <w:t xml:space="preserve">(modificado con artículo </w:t>
            </w:r>
            <w:r>
              <w:rPr>
                <w:rFonts w:ascii="Cambria" w:hAnsi="Cambria"/>
                <w:b/>
                <w:bCs/>
                <w:color w:val="FF0000"/>
                <w:sz w:val="20"/>
                <w:szCs w:val="20"/>
              </w:rPr>
              <w:t>10</w:t>
            </w:r>
            <w:r w:rsidRPr="00645974">
              <w:rPr>
                <w:rFonts w:ascii="Cambria" w:hAnsi="Cambria"/>
                <w:b/>
                <w:bCs/>
                <w:color w:val="FF0000"/>
                <w:sz w:val="20"/>
                <w:szCs w:val="20"/>
              </w:rPr>
              <w:t xml:space="preserve"> del proyecto de </w:t>
            </w:r>
            <w:r w:rsidR="00852E78">
              <w:rPr>
                <w:rFonts w:ascii="Cambria" w:hAnsi="Cambria"/>
                <w:b/>
                <w:bCs/>
                <w:color w:val="FF0000"/>
                <w:sz w:val="20"/>
                <w:szCs w:val="20"/>
              </w:rPr>
              <w:t>Ley septiembre de 2025</w:t>
            </w:r>
            <w:r w:rsidRPr="00645974">
              <w:rPr>
                <w:rFonts w:ascii="Cambria" w:hAnsi="Cambria"/>
                <w:b/>
                <w:bCs/>
                <w:color w:val="FF0000"/>
                <w:sz w:val="20"/>
                <w:szCs w:val="20"/>
              </w:rPr>
              <w:t>)</w:t>
            </w:r>
            <w:r w:rsidRPr="00693B4F">
              <w:rPr>
                <w:rFonts w:ascii="Cambria" w:hAnsi="Cambria"/>
                <w:b/>
                <w:bCs/>
                <w:color w:val="BE9E55"/>
                <w:sz w:val="20"/>
                <w:szCs w:val="20"/>
              </w:rPr>
              <w:t>.</w:t>
            </w:r>
            <w:r w:rsidRPr="00FB67F6">
              <w:rPr>
                <w:rFonts w:ascii="Cambria" w:hAnsi="Cambria"/>
                <w:b/>
                <w:bCs/>
                <w:sz w:val="20"/>
                <w:szCs w:val="20"/>
              </w:rPr>
              <w:t xml:space="preserve">. </w:t>
            </w:r>
            <w:r w:rsidRPr="00FB67F6">
              <w:rPr>
                <w:rFonts w:ascii="Cambria" w:hAnsi="Cambria"/>
                <w:sz w:val="20"/>
                <w:szCs w:val="20"/>
                <w:highlight w:val="yellow"/>
              </w:rPr>
              <w:t>A partir del primer día del mes siguiente a la vigencia de la presente ley,</w:t>
            </w:r>
            <w:r w:rsidRPr="00FB67F6">
              <w:rPr>
                <w:rFonts w:ascii="Cambria" w:hAnsi="Cambria"/>
                <w:sz w:val="20"/>
                <w:szCs w:val="20"/>
              </w:rPr>
              <w:t xml:space="preserve"> quedarán gravados con el impuesto sobre las ventas a la tarifa </w:t>
            </w:r>
            <w:r w:rsidRPr="00FB67F6">
              <w:rPr>
                <w:rFonts w:ascii="Cambria" w:hAnsi="Cambria"/>
                <w:sz w:val="20"/>
                <w:szCs w:val="20"/>
                <w:highlight w:val="yellow"/>
              </w:rPr>
              <w:t>general</w:t>
            </w:r>
            <w:r w:rsidRPr="00FB67F6">
              <w:rPr>
                <w:rFonts w:ascii="Cambria" w:hAnsi="Cambria"/>
                <w:sz w:val="20"/>
                <w:szCs w:val="20"/>
              </w:rPr>
              <w:t xml:space="preserve"> los bienes sujetos al impuesto al consumo de licores, vinos, aperitivos y similares de que trata el artículo 202 de la Ley 223 de 1995 y los que se encuentren sujetos al pago de la participación que aplique en los departamentos </w:t>
            </w:r>
            <w:r w:rsidRPr="00FB67F6">
              <w:rPr>
                <w:rFonts w:ascii="Cambria" w:hAnsi="Cambria"/>
                <w:sz w:val="20"/>
                <w:szCs w:val="20"/>
                <w:highlight w:val="yellow"/>
              </w:rPr>
              <w:t>que ejerzan el monopolio de licores destilados.</w:t>
            </w:r>
          </w:p>
        </w:tc>
      </w:tr>
      <w:tr w:rsidR="009E279D" w:rsidTr="0092734A">
        <w:tc>
          <w:tcPr>
            <w:tcW w:w="4414" w:type="dxa"/>
          </w:tcPr>
          <w:p w:rsidR="00FB67F6" w:rsidRPr="00FB67F6" w:rsidRDefault="00FB67F6" w:rsidP="00FB67F6">
            <w:pPr>
              <w:jc w:val="both"/>
              <w:rPr>
                <w:rFonts w:ascii="Cambria" w:hAnsi="Cambria"/>
                <w:sz w:val="20"/>
                <w:szCs w:val="20"/>
              </w:rPr>
            </w:pPr>
            <w:bookmarkStart w:id="63" w:name="33"/>
            <w:r w:rsidRPr="00FB67F6">
              <w:rPr>
                <w:rFonts w:ascii="Cambria" w:hAnsi="Cambria"/>
                <w:b/>
                <w:bCs/>
                <w:color w:val="000000" w:themeColor="text1"/>
                <w:sz w:val="20"/>
                <w:szCs w:val="20"/>
              </w:rPr>
              <w:t>Artículo 33. Iva sobre licores, vinos, aperitivos y similares</w:t>
            </w:r>
            <w:r w:rsidRPr="00FB67F6">
              <w:rPr>
                <w:rFonts w:ascii="Cambria" w:hAnsi="Cambria"/>
                <w:b/>
                <w:bCs/>
                <w:color w:val="BE9E55"/>
                <w:sz w:val="20"/>
                <w:szCs w:val="20"/>
              </w:rPr>
              <w:t>.</w:t>
            </w:r>
            <w:bookmarkEnd w:id="63"/>
            <w:r w:rsidRPr="00FB67F6">
              <w:rPr>
                <w:rFonts w:ascii="Cambria" w:hAnsi="Cambria"/>
                <w:sz w:val="20"/>
                <w:szCs w:val="20"/>
              </w:rPr>
              <w:t> </w:t>
            </w:r>
            <w:r w:rsidRPr="00FB67F6">
              <w:rPr>
                <w:rFonts w:ascii="Cambria" w:hAnsi="Cambria"/>
                <w:sz w:val="20"/>
                <w:szCs w:val="20"/>
                <w:highlight w:val="yellow"/>
              </w:rPr>
              <w:t xml:space="preserve">El recaudo generado por el impuesto sobre las ventas a la tarifa del 5% en el caso de los licores, vinos, aperitivos y similares gravados con </w:t>
            </w:r>
            <w:r w:rsidRPr="00FB67F6">
              <w:rPr>
                <w:rFonts w:ascii="Cambria" w:hAnsi="Cambria"/>
                <w:sz w:val="20"/>
                <w:szCs w:val="20"/>
                <w:highlight w:val="yellow"/>
              </w:rPr>
              <w:lastRenderedPageBreak/>
              <w:t>el impuesto al consumo, es un ingreso corriente de la nación sin destinación específica.</w:t>
            </w: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Default="00FB67F6" w:rsidP="00FB67F6">
            <w:pPr>
              <w:jc w:val="both"/>
              <w:rPr>
                <w:rFonts w:ascii="Cambria" w:hAnsi="Cambria"/>
                <w:sz w:val="20"/>
                <w:szCs w:val="20"/>
              </w:rPr>
            </w:pPr>
          </w:p>
          <w:p w:rsidR="00FB67F6" w:rsidRPr="00FB67F6" w:rsidRDefault="00FB67F6" w:rsidP="00FB67F6">
            <w:pPr>
              <w:jc w:val="both"/>
              <w:rPr>
                <w:rFonts w:ascii="Cambria" w:hAnsi="Cambria"/>
                <w:sz w:val="20"/>
                <w:szCs w:val="20"/>
              </w:rPr>
            </w:pPr>
            <w:r w:rsidRPr="00FB67F6">
              <w:rPr>
                <w:rFonts w:ascii="Cambria" w:hAnsi="Cambria"/>
                <w:sz w:val="20"/>
                <w:szCs w:val="20"/>
              </w:rPr>
              <w:t>La información contenida en las declaraciones de IVA que presenten los responsables, deberá ser compartida por parte la Dirección de Impuestos y Aduanas Nacionales (DIAN) con las Secretarías de Hacienda de los departamentos, de conformidad con lo dispuesto en el artículo </w:t>
            </w:r>
            <w:r w:rsidRPr="00FB67F6">
              <w:rPr>
                <w:rFonts w:ascii="Cambria" w:hAnsi="Cambria" w:cs="Open Sans"/>
                <w:sz w:val="20"/>
                <w:szCs w:val="20"/>
              </w:rPr>
              <w:t>585</w:t>
            </w:r>
            <w:r w:rsidRPr="00FB67F6">
              <w:rPr>
                <w:rFonts w:ascii="Cambria" w:hAnsi="Cambria"/>
                <w:sz w:val="20"/>
                <w:szCs w:val="20"/>
              </w:rPr>
              <w:t> de E. T.</w:t>
            </w:r>
          </w:p>
          <w:p w:rsidR="00FB67F6" w:rsidRDefault="00FB67F6" w:rsidP="00FB67F6">
            <w:pPr>
              <w:jc w:val="both"/>
              <w:rPr>
                <w:rStyle w:val="baj"/>
                <w:rFonts w:ascii="Cambria" w:hAnsi="Cambria" w:cs="Open Sans"/>
                <w:b/>
                <w:bCs/>
                <w:color w:val="000000"/>
                <w:sz w:val="20"/>
                <w:szCs w:val="20"/>
              </w:rPr>
            </w:pPr>
          </w:p>
          <w:p w:rsidR="00FB67F6" w:rsidRDefault="00FB67F6" w:rsidP="00FB67F6">
            <w:pPr>
              <w:jc w:val="both"/>
              <w:rPr>
                <w:rStyle w:val="baj"/>
                <w:rFonts w:ascii="Cambria" w:hAnsi="Cambria" w:cs="Open Sans"/>
                <w:b/>
                <w:bCs/>
                <w:color w:val="000000"/>
                <w:sz w:val="20"/>
                <w:szCs w:val="20"/>
              </w:rPr>
            </w:pPr>
          </w:p>
          <w:p w:rsidR="00FB67F6" w:rsidRPr="00FB67F6" w:rsidRDefault="00FB67F6" w:rsidP="00FB67F6">
            <w:pPr>
              <w:jc w:val="both"/>
              <w:rPr>
                <w:rFonts w:ascii="Cambria" w:hAnsi="Cambria"/>
                <w:sz w:val="20"/>
                <w:szCs w:val="20"/>
              </w:rPr>
            </w:pPr>
            <w:r w:rsidRPr="00FB67F6">
              <w:rPr>
                <w:rStyle w:val="baj"/>
                <w:rFonts w:ascii="Cambria" w:hAnsi="Cambria" w:cs="Open Sans"/>
                <w:b/>
                <w:bCs/>
                <w:color w:val="000000"/>
                <w:sz w:val="20"/>
                <w:szCs w:val="20"/>
                <w:highlight w:val="yellow"/>
              </w:rPr>
              <w:t>PARÁGRAFO.</w:t>
            </w:r>
            <w:r w:rsidRPr="00FB67F6">
              <w:rPr>
                <w:rFonts w:ascii="Cambria" w:hAnsi="Cambria"/>
                <w:sz w:val="20"/>
                <w:szCs w:val="20"/>
                <w:highlight w:val="yellow"/>
              </w:rPr>
              <w:t> Cédase a los departamentos el recaudo generado por el IVA a que se refiere el presente artículo, realizados los descuentos y devoluciones correspondientes, con destino al aseguramiento en salud y de acuerdo con la metodología que defina el Gobierno nacional.</w:t>
            </w:r>
          </w:p>
          <w:p w:rsidR="009E279D" w:rsidRPr="00FB67F6" w:rsidRDefault="009E279D" w:rsidP="00FB67F6">
            <w:pPr>
              <w:jc w:val="both"/>
              <w:rPr>
                <w:rFonts w:ascii="Cambria" w:hAnsi="Cambria"/>
                <w:sz w:val="20"/>
                <w:szCs w:val="20"/>
                <w:lang w:val="es-ES"/>
              </w:rPr>
            </w:pPr>
          </w:p>
        </w:tc>
        <w:tc>
          <w:tcPr>
            <w:tcW w:w="4414" w:type="dxa"/>
          </w:tcPr>
          <w:p w:rsidR="00FB67F6" w:rsidRPr="00FB67F6" w:rsidRDefault="00FB67F6" w:rsidP="00FB67F6">
            <w:pPr>
              <w:jc w:val="both"/>
              <w:rPr>
                <w:rFonts w:ascii="Cambria" w:hAnsi="Cambria"/>
                <w:sz w:val="20"/>
                <w:szCs w:val="20"/>
              </w:rPr>
            </w:pPr>
            <w:r w:rsidRPr="00FB67F6">
              <w:rPr>
                <w:rFonts w:ascii="Cambria" w:hAnsi="Cambria"/>
                <w:b/>
                <w:bCs/>
                <w:sz w:val="20"/>
                <w:szCs w:val="20"/>
              </w:rPr>
              <w:lastRenderedPageBreak/>
              <w:t>Artículo 33</w:t>
            </w:r>
            <w:r>
              <w:rPr>
                <w:rFonts w:ascii="Cambria" w:hAnsi="Cambria"/>
                <w:b/>
                <w:bCs/>
                <w:sz w:val="20"/>
                <w:szCs w:val="20"/>
              </w:rPr>
              <w:t xml:space="preserve"> </w:t>
            </w:r>
            <w:r w:rsidRPr="00645974">
              <w:rPr>
                <w:rFonts w:ascii="Cambria" w:hAnsi="Cambria"/>
                <w:b/>
                <w:bCs/>
                <w:color w:val="FF0000"/>
                <w:sz w:val="20"/>
                <w:szCs w:val="20"/>
              </w:rPr>
              <w:t xml:space="preserve">(modificado con artículo </w:t>
            </w:r>
            <w:r>
              <w:rPr>
                <w:rFonts w:ascii="Cambria" w:hAnsi="Cambria"/>
                <w:b/>
                <w:bCs/>
                <w:color w:val="FF0000"/>
                <w:sz w:val="20"/>
                <w:szCs w:val="20"/>
              </w:rPr>
              <w:t>11</w:t>
            </w:r>
            <w:r w:rsidRPr="00645974">
              <w:rPr>
                <w:rFonts w:ascii="Cambria" w:hAnsi="Cambria"/>
                <w:b/>
                <w:bCs/>
                <w:color w:val="FF0000"/>
                <w:sz w:val="20"/>
                <w:szCs w:val="20"/>
              </w:rPr>
              <w:t xml:space="preserve"> del proyecto de </w:t>
            </w:r>
            <w:r w:rsidR="00852E78">
              <w:rPr>
                <w:rFonts w:ascii="Cambria" w:hAnsi="Cambria"/>
                <w:b/>
                <w:bCs/>
                <w:color w:val="FF0000"/>
                <w:sz w:val="20"/>
                <w:szCs w:val="20"/>
              </w:rPr>
              <w:t>Ley septiembre de 2025</w:t>
            </w:r>
            <w:r w:rsidRPr="00645974">
              <w:rPr>
                <w:rFonts w:ascii="Cambria" w:hAnsi="Cambria"/>
                <w:b/>
                <w:bCs/>
                <w:color w:val="FF0000"/>
                <w:sz w:val="20"/>
                <w:szCs w:val="20"/>
              </w:rPr>
              <w:t>)</w:t>
            </w:r>
            <w:r w:rsidRPr="00693B4F">
              <w:rPr>
                <w:rFonts w:ascii="Cambria" w:hAnsi="Cambria"/>
                <w:b/>
                <w:bCs/>
                <w:color w:val="BE9E55"/>
                <w:sz w:val="20"/>
                <w:szCs w:val="20"/>
              </w:rPr>
              <w:t>.</w:t>
            </w:r>
            <w:r w:rsidRPr="00FB67F6">
              <w:rPr>
                <w:rFonts w:ascii="Cambria" w:hAnsi="Cambria"/>
                <w:b/>
                <w:bCs/>
                <w:sz w:val="20"/>
                <w:szCs w:val="20"/>
              </w:rPr>
              <w:t xml:space="preserve">. </w:t>
            </w:r>
            <w:r w:rsidRPr="00FB67F6">
              <w:rPr>
                <w:rFonts w:ascii="Cambria" w:hAnsi="Cambria"/>
                <w:sz w:val="20"/>
                <w:szCs w:val="20"/>
                <w:highlight w:val="yellow"/>
              </w:rPr>
              <w:t xml:space="preserve">De la tarifa del IVA aplicable a los bienes sujetos al impuesto al consumo de licores, vinos, aperitivos y similares de que trata el artículo 202 de la Ley </w:t>
            </w:r>
            <w:r w:rsidRPr="00FB67F6">
              <w:rPr>
                <w:rFonts w:ascii="Cambria" w:hAnsi="Cambria"/>
                <w:sz w:val="20"/>
                <w:szCs w:val="20"/>
                <w:highlight w:val="yellow"/>
              </w:rPr>
              <w:lastRenderedPageBreak/>
              <w:t>223 de 1995 y los que se encuentren sujetos al pago de la participación que aplique en los departamentos que ejerzan el monopolio de licores destilados, se ceden cinco (5) puntos porcentuales a favor de los departamentos con destino al aseguramiento en salud y de acuerdo con la metodología que defina el Gobierno nacional.</w:t>
            </w:r>
            <w:r w:rsidRPr="00FB67F6">
              <w:rPr>
                <w:rFonts w:ascii="Cambria" w:hAnsi="Cambria"/>
                <w:sz w:val="20"/>
                <w:szCs w:val="20"/>
              </w:rPr>
              <w:t xml:space="preserve"> </w:t>
            </w:r>
          </w:p>
          <w:p w:rsidR="00FB67F6" w:rsidRDefault="00FB67F6" w:rsidP="00FB67F6">
            <w:pPr>
              <w:jc w:val="both"/>
              <w:rPr>
                <w:rFonts w:ascii="Cambria" w:hAnsi="Cambria"/>
                <w:sz w:val="20"/>
                <w:szCs w:val="20"/>
              </w:rPr>
            </w:pPr>
          </w:p>
          <w:p w:rsidR="009E279D" w:rsidRPr="00FB67F6" w:rsidRDefault="00FB67F6" w:rsidP="00FB67F6">
            <w:pPr>
              <w:jc w:val="both"/>
              <w:rPr>
                <w:rFonts w:ascii="Cambria" w:hAnsi="Cambria"/>
                <w:sz w:val="20"/>
                <w:szCs w:val="20"/>
                <w:lang w:val="es-ES"/>
              </w:rPr>
            </w:pPr>
            <w:r w:rsidRPr="00FB67F6">
              <w:rPr>
                <w:rFonts w:ascii="Cambria" w:hAnsi="Cambria"/>
                <w:sz w:val="20"/>
                <w:szCs w:val="20"/>
              </w:rPr>
              <w:t xml:space="preserve">La información contenida en las declaraciones de IVA que presenten los responsables deberá ser compartida por parte la Dirección de Impuestos y Aduanas Nacionales (DIAN) con las Secretarías de Hacienda de los departamentos, de conformidad con lo dispuesto en el artículo 585 del Estatuto Tributario Nacional. </w:t>
            </w:r>
          </w:p>
        </w:tc>
      </w:tr>
    </w:tbl>
    <w:p w:rsidR="009E279D" w:rsidRDefault="009E279D">
      <w:pPr>
        <w:rPr>
          <w:lang w:val="es-ES"/>
        </w:rPr>
      </w:pPr>
    </w:p>
    <w:p w:rsidR="00C742BB" w:rsidRPr="00C742BB" w:rsidRDefault="00C742BB" w:rsidP="00C742BB">
      <w:pPr>
        <w:jc w:val="both"/>
        <w:rPr>
          <w:rFonts w:ascii="Calibri" w:hAnsi="Calibri"/>
          <w:b/>
          <w:color w:val="FF0000"/>
          <w:lang w:val="es-ES"/>
        </w:rPr>
      </w:pPr>
      <w:r w:rsidRPr="00C742BB">
        <w:rPr>
          <w:rFonts w:ascii="Calibri" w:hAnsi="Calibri"/>
          <w:b/>
          <w:color w:val="FF0000"/>
          <w:lang w:val="es-ES"/>
        </w:rPr>
        <w:t>Ley 1819 de diciembre 29 de 2016 (Por medio de la cual se adopta una reforma tributaria estructural, se fortalecen los mecanismos para la lucha contra la evasión y la elusión fiscal, y se dictan otras disposiciones</w:t>
      </w:r>
      <w:r>
        <w:rPr>
          <w:rFonts w:ascii="Calibri" w:hAnsi="Calibri"/>
          <w:b/>
          <w:color w:val="FF0000"/>
          <w:lang w:val="es-ES"/>
        </w:rPr>
        <w:t>)</w:t>
      </w:r>
    </w:p>
    <w:p w:rsidR="004E245C" w:rsidRDefault="004E245C" w:rsidP="004E245C"/>
    <w:tbl>
      <w:tblPr>
        <w:tblStyle w:val="Tablaconcuadrcula"/>
        <w:tblW w:w="0" w:type="auto"/>
        <w:tblLook w:val="04A0" w:firstRow="1" w:lastRow="0" w:firstColumn="1" w:lastColumn="0" w:noHBand="0" w:noVBand="1"/>
      </w:tblPr>
      <w:tblGrid>
        <w:gridCol w:w="4414"/>
        <w:gridCol w:w="4414"/>
      </w:tblGrid>
      <w:tr w:rsidR="004E245C" w:rsidRPr="0065720A" w:rsidTr="0092734A">
        <w:tc>
          <w:tcPr>
            <w:tcW w:w="4414" w:type="dxa"/>
          </w:tcPr>
          <w:p w:rsidR="004E245C" w:rsidRPr="001D7901" w:rsidRDefault="004E245C" w:rsidP="0092734A">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4E245C" w:rsidRPr="001D7901" w:rsidRDefault="004E245C" w:rsidP="0092734A">
            <w:pPr>
              <w:jc w:val="center"/>
              <w:rPr>
                <w:rFonts w:ascii="Cambria" w:hAnsi="Cambria"/>
                <w:b/>
                <w:bCs/>
                <w:sz w:val="20"/>
                <w:szCs w:val="20"/>
              </w:rPr>
            </w:pPr>
            <w:r w:rsidRPr="001D7901">
              <w:rPr>
                <w:rFonts w:ascii="Cambria" w:hAnsi="Cambria"/>
                <w:b/>
                <w:bCs/>
                <w:sz w:val="20"/>
                <w:szCs w:val="20"/>
              </w:rPr>
              <w:t>Nueva versión con que quedaría la norma</w:t>
            </w:r>
          </w:p>
        </w:tc>
      </w:tr>
      <w:tr w:rsidR="00C742BB" w:rsidTr="0092734A">
        <w:tc>
          <w:tcPr>
            <w:tcW w:w="4414" w:type="dxa"/>
          </w:tcPr>
          <w:p w:rsidR="00C742BB" w:rsidRPr="00C742BB" w:rsidRDefault="00C742BB" w:rsidP="00C742BB">
            <w:pPr>
              <w:jc w:val="both"/>
              <w:rPr>
                <w:rFonts w:ascii="Cambria" w:hAnsi="Cambria"/>
                <w:sz w:val="20"/>
                <w:szCs w:val="20"/>
              </w:rPr>
            </w:pPr>
            <w:bookmarkStart w:id="64" w:name="221"/>
            <w:r w:rsidRPr="00C742BB">
              <w:rPr>
                <w:rFonts w:ascii="Cambria" w:hAnsi="Cambria"/>
                <w:b/>
                <w:bCs/>
                <w:color w:val="000000" w:themeColor="text1"/>
                <w:sz w:val="20"/>
                <w:szCs w:val="20"/>
              </w:rPr>
              <w:t>Artículo 221. Impuesto al carbono.</w:t>
            </w:r>
            <w:r w:rsidRPr="00C742BB">
              <w:rPr>
                <w:rFonts w:ascii="Cambria" w:hAnsi="Cambria"/>
                <w:b/>
                <w:bCs/>
                <w:color w:val="BE9E55"/>
                <w:sz w:val="20"/>
                <w:szCs w:val="20"/>
              </w:rPr>
              <w:t> </w:t>
            </w:r>
            <w:bookmarkEnd w:id="64"/>
            <w:r w:rsidRPr="00C742BB">
              <w:rPr>
                <w:rFonts w:ascii="Cambria" w:hAnsi="Cambria"/>
                <w:sz w:val="20"/>
                <w:szCs w:val="20"/>
              </w:rPr>
              <w:t xml:space="preserve"> El impuesto nacional al carbono es un gravamen que recae sobre el contenido de carbono equivalente (C02eq) de todos los combustibles fósiles, incluyendo todos los derivados del petróleo, gas fósil y sólidos que sean usados para combustión.</w:t>
            </w:r>
          </w:p>
          <w:p w:rsidR="00C742BB" w:rsidRDefault="00C742BB" w:rsidP="00C742BB">
            <w:pPr>
              <w:jc w:val="both"/>
              <w:rPr>
                <w:rFonts w:ascii="Cambria" w:hAnsi="Cambria"/>
                <w:sz w:val="20"/>
                <w:szCs w:val="20"/>
              </w:rPr>
            </w:pPr>
          </w:p>
          <w:p w:rsidR="00C742BB" w:rsidRDefault="00C742BB" w:rsidP="00C742BB">
            <w:pPr>
              <w:jc w:val="both"/>
              <w:rPr>
                <w:rFonts w:ascii="Cambria" w:hAnsi="Cambria"/>
                <w:sz w:val="20"/>
                <w:szCs w:val="20"/>
              </w:rPr>
            </w:pP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El hecho generador del impuesto nacional al carbono es la venta dentro del territorio nacional, el retiro para el consumo propio, la importación para el consumo propio o la importación para la venta de combustibles fósiles.</w:t>
            </w: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 xml:space="preserve">El impuesto nacional al carbono se causa en una sola etapa respecto del hecho generador que ocurra primero. Tratándose de gas y derivados de petróleo, el impuesto se causa en las ventas efectuadas por los productores, en la fecha de emisión de la factura; en los retiros para consumo de los productores, en la fecha del retiro; y en las importaciones, en la fecha en que se nacionalice el gas o el derivado de petróleo. En el caso del </w:t>
            </w:r>
            <w:r w:rsidRPr="00C742BB">
              <w:rPr>
                <w:rFonts w:ascii="Cambria" w:hAnsi="Cambria"/>
                <w:sz w:val="20"/>
                <w:szCs w:val="20"/>
              </w:rPr>
              <w:lastRenderedPageBreak/>
              <w:t>carbón, el impuesto se causa al momento de la venta al consumidor final en la fecha de emisión de la factura; al momento del retiro para consumo propio, en la fecha del retiro; o al momento de la importación para uso propio, en la fecha de su nacionalización.</w:t>
            </w: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Tratándose de gas y derivados del petróleo, el sujeto pasivo del impuesto será quien adquiera los combustibles fósiles del productor o el importador; el productor cuando realice retiros para consumo propio; y el importador cuando realice retiros para consumo propio.</w:t>
            </w:r>
          </w:p>
          <w:p w:rsidR="00C742BB" w:rsidRDefault="00C742BB" w:rsidP="00C742BB">
            <w:pPr>
              <w:jc w:val="both"/>
              <w:rPr>
                <w:rFonts w:ascii="Cambria" w:hAnsi="Cambria"/>
                <w:sz w:val="20"/>
                <w:szCs w:val="20"/>
              </w:rPr>
            </w:pPr>
          </w:p>
          <w:p w:rsidR="00C742BB" w:rsidRDefault="00C742BB" w:rsidP="00C742BB">
            <w:pPr>
              <w:jc w:val="both"/>
              <w:rPr>
                <w:rFonts w:ascii="Cambria" w:hAnsi="Cambria"/>
                <w:sz w:val="20"/>
                <w:szCs w:val="20"/>
              </w:rPr>
            </w:pPr>
            <w:r w:rsidRPr="00C742BB">
              <w:rPr>
                <w:rFonts w:ascii="Cambria" w:hAnsi="Cambria"/>
                <w:sz w:val="20"/>
                <w:szCs w:val="20"/>
              </w:rPr>
              <w:t>Son responsables del impuesto, tratándose de gas y derivados del petróleo, los productores y los importadores; independientemente de su calidad de sujeto pasivo, cuando se realice el hecho generador. En el caso del carbón, los sujetos pasivos y responsables del impuesto son quienes lo adquieran o utilicen para consumo propio dentro del territorio nacional. Los responsables son quienes autoliquidarán el impuesto.</w:t>
            </w:r>
          </w:p>
          <w:p w:rsidR="00C742BB" w:rsidRP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1o.</w:t>
            </w:r>
            <w:r w:rsidRPr="00C742BB">
              <w:rPr>
                <w:rFonts w:ascii="Cambria" w:hAnsi="Cambria"/>
                <w:sz w:val="20"/>
                <w:szCs w:val="20"/>
              </w:rPr>
              <w:t xml:space="preserve"> El impuesto nacional al carbono no se causa para los sujetos pasivos que certifiquen ser carbono neutro, ya sea que la certificación sea obtenida directamente por el sujeto pasivo o a través del consumidor o usuario final, de acuerdo con la reglamentación que expida el Ministerio de Ambiente y Desarrollo Sostenible. La no causación del impuesto nacional al carbono no podrá exceder en ningún caso el </w:t>
            </w:r>
            <w:r w:rsidRPr="00C742BB">
              <w:rPr>
                <w:rFonts w:ascii="Cambria" w:hAnsi="Cambria"/>
                <w:sz w:val="20"/>
                <w:szCs w:val="20"/>
                <w:highlight w:val="yellow"/>
              </w:rPr>
              <w:t xml:space="preserve">cincuenta </w:t>
            </w:r>
            <w:r w:rsidRPr="00C742BB">
              <w:rPr>
                <w:rFonts w:ascii="Cambria" w:hAnsi="Cambria"/>
                <w:sz w:val="20"/>
                <w:szCs w:val="20"/>
              </w:rPr>
              <w:t xml:space="preserve">por ciento </w:t>
            </w:r>
            <w:r w:rsidRPr="00C742BB">
              <w:rPr>
                <w:rFonts w:ascii="Cambria" w:hAnsi="Cambria"/>
                <w:sz w:val="20"/>
                <w:szCs w:val="20"/>
                <w:highlight w:val="yellow"/>
              </w:rPr>
              <w:t>(50%)</w:t>
            </w:r>
            <w:r w:rsidRPr="00C742BB">
              <w:rPr>
                <w:rFonts w:ascii="Cambria" w:hAnsi="Cambria"/>
                <w:sz w:val="20"/>
                <w:szCs w:val="20"/>
              </w:rPr>
              <w:t xml:space="preserve"> del impuesto causado. El uso de </w:t>
            </w:r>
            <w:r w:rsidRPr="00892D15">
              <w:rPr>
                <w:rFonts w:ascii="Cambria" w:hAnsi="Cambria"/>
                <w:sz w:val="20"/>
                <w:szCs w:val="20"/>
                <w:highlight w:val="yellow"/>
              </w:rPr>
              <w:t>la certificación de carbono neutro</w:t>
            </w:r>
            <w:r w:rsidRPr="00C742BB">
              <w:rPr>
                <w:rFonts w:ascii="Cambria" w:hAnsi="Cambria"/>
                <w:sz w:val="20"/>
                <w:szCs w:val="20"/>
              </w:rPr>
              <w:t>, para la no causación del impuesto al carbono, no podrá volver a ser utilizada para obtener el mismo beneficio ni ningún otro tratamiento tributario.</w:t>
            </w:r>
          </w:p>
          <w:p w:rsidR="00C742BB" w:rsidRDefault="00C742BB"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2o. </w:t>
            </w:r>
            <w:r w:rsidRPr="00C742BB">
              <w:rPr>
                <w:rFonts w:ascii="Cambria" w:hAnsi="Cambria"/>
                <w:sz w:val="20"/>
                <w:szCs w:val="20"/>
              </w:rPr>
              <w:t>En el caso del carbón, el impuesto no se causa para el carbón de coquerías.</w:t>
            </w:r>
          </w:p>
          <w:p w:rsidR="00C742BB" w:rsidRDefault="00C742BB"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3o. </w:t>
            </w:r>
            <w:r w:rsidRPr="00C742BB">
              <w:rPr>
                <w:rFonts w:ascii="Cambria" w:hAnsi="Cambria"/>
                <w:sz w:val="20"/>
                <w:szCs w:val="20"/>
              </w:rPr>
              <w:t xml:space="preserve">En el caso del gas licuado de petróleo, el impuesto </w:t>
            </w:r>
            <w:r w:rsidRPr="00892D15">
              <w:rPr>
                <w:rFonts w:ascii="Cambria" w:hAnsi="Cambria"/>
                <w:sz w:val="20"/>
                <w:szCs w:val="20"/>
                <w:highlight w:val="yellow"/>
              </w:rPr>
              <w:t xml:space="preserve">solo se </w:t>
            </w:r>
            <w:r w:rsidRPr="00892D15">
              <w:rPr>
                <w:rFonts w:ascii="Cambria" w:hAnsi="Cambria"/>
                <w:sz w:val="20"/>
                <w:szCs w:val="20"/>
              </w:rPr>
              <w:t xml:space="preserve">causa en </w:t>
            </w:r>
            <w:r w:rsidRPr="00892D15">
              <w:rPr>
                <w:rFonts w:ascii="Cambria" w:hAnsi="Cambria"/>
                <w:sz w:val="20"/>
                <w:szCs w:val="20"/>
                <w:highlight w:val="yellow"/>
              </w:rPr>
              <w:t>la venta a usuarios industriales.</w:t>
            </w:r>
          </w:p>
          <w:p w:rsidR="00C742BB" w:rsidRDefault="00C742BB"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4o. </w:t>
            </w:r>
            <w:r w:rsidRPr="00892D15">
              <w:rPr>
                <w:rFonts w:ascii="Cambria" w:hAnsi="Cambria"/>
                <w:sz w:val="20"/>
                <w:szCs w:val="20"/>
                <w:highlight w:val="yellow"/>
              </w:rPr>
              <w:t>En el caso del gas natural, el impuesto solo se causa en la venta a la industria de la refinación de hidrocarburos y la petroquímica.</w:t>
            </w:r>
          </w:p>
          <w:p w:rsidR="00C742BB" w:rsidRDefault="00C742BB" w:rsidP="00C742BB">
            <w:pPr>
              <w:jc w:val="both"/>
              <w:rPr>
                <w:rStyle w:val="baj"/>
                <w:rFonts w:ascii="Cambria" w:hAnsi="Cambria" w:cs="Open Sans"/>
                <w:b/>
                <w:bCs/>
                <w:color w:val="000000"/>
                <w:sz w:val="20"/>
                <w:szCs w:val="20"/>
              </w:rPr>
            </w:pPr>
          </w:p>
          <w:p w:rsidR="00892D15" w:rsidRDefault="00892D15" w:rsidP="00C742BB">
            <w:pPr>
              <w:jc w:val="both"/>
              <w:rPr>
                <w:rStyle w:val="baj"/>
                <w:rFonts w:ascii="Cambria" w:hAnsi="Cambria" w:cs="Open Sans"/>
                <w:b/>
                <w:bCs/>
                <w:color w:val="000000"/>
                <w:sz w:val="20"/>
                <w:szCs w:val="20"/>
              </w:rPr>
            </w:pPr>
          </w:p>
          <w:p w:rsidR="00892D15" w:rsidRDefault="00892D15"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1E41C9">
              <w:rPr>
                <w:rStyle w:val="baj"/>
                <w:rFonts w:ascii="Cambria" w:hAnsi="Cambria" w:cs="Open Sans"/>
                <w:b/>
                <w:bCs/>
                <w:color w:val="000000"/>
                <w:sz w:val="20"/>
                <w:szCs w:val="20"/>
                <w:highlight w:val="yellow"/>
              </w:rPr>
              <w:lastRenderedPageBreak/>
              <w:t>PARÁGRAFO 5o.</w:t>
            </w:r>
            <w:r w:rsidRPr="001E41C9">
              <w:rPr>
                <w:rFonts w:ascii="Cambria" w:hAnsi="Cambria"/>
                <w:sz w:val="20"/>
                <w:szCs w:val="20"/>
                <w:highlight w:val="yellow"/>
              </w:rPr>
              <w:t> El Ministerio de Ambiente y Desarrollo Sostenible podrá reglamentar mecanismos de control y definir criterios técnicos para los resultados de mitigación de GEI que se utilicen para optar al mecanismo de no causación de que trata el parágrafo 1 del presente Artículo</w:t>
            </w:r>
            <w:r w:rsidRPr="00C742BB">
              <w:rPr>
                <w:rFonts w:ascii="Cambria" w:hAnsi="Cambria"/>
                <w:sz w:val="20"/>
                <w:szCs w:val="20"/>
              </w:rPr>
              <w:t>.</w:t>
            </w:r>
          </w:p>
          <w:p w:rsidR="00C742BB" w:rsidRPr="00C742BB" w:rsidRDefault="00C742BB" w:rsidP="00C742BB">
            <w:pPr>
              <w:jc w:val="both"/>
              <w:rPr>
                <w:rFonts w:ascii="Cambria" w:hAnsi="Cambria"/>
                <w:sz w:val="20"/>
                <w:szCs w:val="20"/>
              </w:rPr>
            </w:pPr>
          </w:p>
        </w:tc>
        <w:tc>
          <w:tcPr>
            <w:tcW w:w="4414" w:type="dxa"/>
          </w:tcPr>
          <w:p w:rsidR="00C742BB" w:rsidRPr="00C742BB" w:rsidRDefault="00C742BB" w:rsidP="00C742BB">
            <w:pPr>
              <w:jc w:val="both"/>
              <w:rPr>
                <w:rFonts w:ascii="Cambria" w:hAnsi="Cambria"/>
                <w:sz w:val="20"/>
                <w:szCs w:val="20"/>
              </w:rPr>
            </w:pPr>
            <w:r w:rsidRPr="00C742BB">
              <w:rPr>
                <w:rFonts w:ascii="Cambria" w:hAnsi="Cambria"/>
                <w:b/>
                <w:bCs/>
                <w:color w:val="000000" w:themeColor="text1"/>
                <w:sz w:val="20"/>
                <w:szCs w:val="20"/>
              </w:rPr>
              <w:lastRenderedPageBreak/>
              <w:t>Artículo 221. Impuesto al carbono</w:t>
            </w:r>
            <w:r>
              <w:rPr>
                <w:rFonts w:ascii="Cambria" w:hAnsi="Cambria"/>
                <w:b/>
                <w:bCs/>
                <w:color w:val="000000" w:themeColor="text1"/>
                <w:sz w:val="20"/>
                <w:szCs w:val="20"/>
              </w:rPr>
              <w:t xml:space="preserve"> </w:t>
            </w:r>
            <w:r w:rsidRPr="00C742BB">
              <w:rPr>
                <w:rFonts w:ascii="Cambria" w:hAnsi="Cambria"/>
                <w:b/>
                <w:bCs/>
                <w:color w:val="FF0000"/>
                <w:sz w:val="20"/>
                <w:szCs w:val="20"/>
              </w:rPr>
              <w:t xml:space="preserve">(modificado con artículo 31 </w:t>
            </w:r>
            <w:r w:rsidR="001E41C9">
              <w:rPr>
                <w:rFonts w:ascii="Cambria" w:hAnsi="Cambria"/>
                <w:b/>
                <w:bCs/>
                <w:color w:val="FF0000"/>
                <w:sz w:val="20"/>
                <w:szCs w:val="20"/>
              </w:rPr>
              <w:t>y</w:t>
            </w:r>
            <w:r w:rsidR="001E41C9">
              <w:rPr>
                <w:rFonts w:ascii="Cambria" w:hAnsi="Cambria"/>
                <w:color w:val="FF0000"/>
                <w:sz w:val="20"/>
                <w:szCs w:val="20"/>
              </w:rPr>
              <w:t xml:space="preserve"> 95 </w:t>
            </w:r>
            <w:r w:rsidRPr="00C742BB">
              <w:rPr>
                <w:rFonts w:ascii="Cambria" w:hAnsi="Cambria"/>
                <w:b/>
                <w:bCs/>
                <w:color w:val="FF0000"/>
                <w:sz w:val="20"/>
                <w:szCs w:val="20"/>
              </w:rPr>
              <w:t xml:space="preserve">proyecto de </w:t>
            </w:r>
            <w:r w:rsidR="00852E78">
              <w:rPr>
                <w:rFonts w:ascii="Cambria" w:hAnsi="Cambria"/>
                <w:b/>
                <w:bCs/>
                <w:color w:val="FF0000"/>
                <w:sz w:val="20"/>
                <w:szCs w:val="20"/>
              </w:rPr>
              <w:t>Ley septiembre de 2025</w:t>
            </w:r>
            <w:r w:rsidRPr="00C742BB">
              <w:rPr>
                <w:rFonts w:ascii="Cambria" w:hAnsi="Cambria"/>
                <w:b/>
                <w:bCs/>
                <w:color w:val="FF0000"/>
                <w:sz w:val="20"/>
                <w:szCs w:val="20"/>
              </w:rPr>
              <w:t>). </w:t>
            </w:r>
            <w:r w:rsidRPr="00C742BB">
              <w:rPr>
                <w:rFonts w:ascii="Cambria" w:hAnsi="Cambria"/>
                <w:color w:val="FF0000"/>
                <w:sz w:val="20"/>
                <w:szCs w:val="20"/>
              </w:rPr>
              <w:t xml:space="preserve"> </w:t>
            </w:r>
            <w:r w:rsidRPr="00C742BB">
              <w:rPr>
                <w:rFonts w:ascii="Cambria" w:hAnsi="Cambria"/>
                <w:sz w:val="20"/>
                <w:szCs w:val="20"/>
              </w:rPr>
              <w:t>El impuesto nacional al carbono es un gravamen que recae sobre el contenido de carbono equivalente (C02eq) de todos los combustibles fósiles, incluyendo todos los derivados del petróleo, gas fósil y sólidos que sean usados para combustión.</w:t>
            </w: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El hecho generador del impuesto nacional al carbono es la venta dentro del territorio nacional, el retiro para el consumo propio, la importación para el consumo propio o la importación para la venta de combustibles fósiles.</w:t>
            </w: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 xml:space="preserve">El impuesto nacional al carbono se causa en una sola etapa respecto del hecho generador que ocurra primero. Tratándose de gas y derivados de petróleo, el impuesto se causa en las ventas efectuadas por los productores, en la fecha de emisión de la factura; en los retiros para consumo de los productores, en la fecha del retiro; y en las importaciones, en la fecha en que se nacionalice el gas o el derivado de petróleo. En el caso del </w:t>
            </w:r>
            <w:r w:rsidRPr="00C742BB">
              <w:rPr>
                <w:rFonts w:ascii="Cambria" w:hAnsi="Cambria"/>
                <w:sz w:val="20"/>
                <w:szCs w:val="20"/>
              </w:rPr>
              <w:lastRenderedPageBreak/>
              <w:t>carbón, el impuesto se causa al momento de la venta al consumidor final en la fecha de emisión de la factura; al momento del retiro para consumo propio, en la fecha del retiro; o al momento de la importación para uso propio, en la fecha de su nacionalización.</w:t>
            </w:r>
          </w:p>
          <w:p w:rsid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Fonts w:ascii="Cambria" w:hAnsi="Cambria"/>
                <w:sz w:val="20"/>
                <w:szCs w:val="20"/>
              </w:rPr>
              <w:t>Tratándose de gas y derivados del petróleo, el sujeto pasivo del impuesto será quien adquiera los combustibles fósiles del productor o el importador; el productor cuando realice retiros para consumo propio; y el importador cuando realice retiros para consumo propio.</w:t>
            </w:r>
          </w:p>
          <w:p w:rsidR="00C742BB" w:rsidRDefault="00C742BB" w:rsidP="00C742BB">
            <w:pPr>
              <w:jc w:val="both"/>
              <w:rPr>
                <w:rFonts w:ascii="Cambria" w:hAnsi="Cambria"/>
                <w:sz w:val="20"/>
                <w:szCs w:val="20"/>
              </w:rPr>
            </w:pPr>
          </w:p>
          <w:p w:rsidR="00C742BB" w:rsidRDefault="00C742BB" w:rsidP="00C742BB">
            <w:pPr>
              <w:jc w:val="both"/>
              <w:rPr>
                <w:rFonts w:ascii="Cambria" w:hAnsi="Cambria"/>
                <w:sz w:val="20"/>
                <w:szCs w:val="20"/>
              </w:rPr>
            </w:pPr>
            <w:r w:rsidRPr="00C742BB">
              <w:rPr>
                <w:rFonts w:ascii="Cambria" w:hAnsi="Cambria"/>
                <w:sz w:val="20"/>
                <w:szCs w:val="20"/>
              </w:rPr>
              <w:t>Son responsables del impuesto, tratándose de gas y derivados del petróleo, los productores y los importadores; independientemente de su calidad de sujeto pasivo, cuando se realice el hecho generador. En el caso del carbón, los sujetos pasivos y responsables del impuesto son quienes lo adquieran o utilicen para consumo propio dentro del territorio nacional. Los responsables son quienes autoliquidarán el impuesto.</w:t>
            </w:r>
          </w:p>
          <w:p w:rsidR="00C742BB" w:rsidRPr="00C742BB" w:rsidRDefault="00C742BB" w:rsidP="00C742BB">
            <w:pPr>
              <w:jc w:val="both"/>
              <w:rPr>
                <w:rFonts w:ascii="Cambria" w:hAnsi="Cambria"/>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1o.</w:t>
            </w:r>
            <w:r w:rsidRPr="00C742BB">
              <w:rPr>
                <w:rFonts w:ascii="Cambria" w:hAnsi="Cambria"/>
                <w:sz w:val="20"/>
                <w:szCs w:val="20"/>
              </w:rPr>
              <w:t xml:space="preserve"> El impuesto nacional al carbono no se causa para los sujetos pasivos que certifiquen ser carbono neutro, ya sea que la certificación sea obtenida directamente por el sujeto pasivo o a través del consumidor o usuario final, de acuerdo con la reglamentación que expida el Ministerio de Ambiente y Desarrollo Sostenible. La no causación del impuesto nacional al carbono no podrá exceder en ningún caso el </w:t>
            </w:r>
            <w:r w:rsidRPr="00C742BB">
              <w:rPr>
                <w:rFonts w:ascii="Cambria" w:hAnsi="Cambria"/>
                <w:sz w:val="20"/>
                <w:szCs w:val="20"/>
                <w:highlight w:val="yellow"/>
              </w:rPr>
              <w:t xml:space="preserve">treinta </w:t>
            </w:r>
            <w:r w:rsidRPr="00C742BB">
              <w:rPr>
                <w:rFonts w:ascii="Cambria" w:hAnsi="Cambria"/>
                <w:sz w:val="20"/>
                <w:szCs w:val="20"/>
              </w:rPr>
              <w:t xml:space="preserve">por ciento </w:t>
            </w:r>
            <w:r w:rsidRPr="00C742BB">
              <w:rPr>
                <w:rFonts w:ascii="Cambria" w:hAnsi="Cambria"/>
                <w:sz w:val="20"/>
                <w:szCs w:val="20"/>
                <w:highlight w:val="yellow"/>
              </w:rPr>
              <w:t>(30%)</w:t>
            </w:r>
            <w:r w:rsidRPr="00C742BB">
              <w:rPr>
                <w:rFonts w:ascii="Cambria" w:hAnsi="Cambria"/>
                <w:sz w:val="20"/>
                <w:szCs w:val="20"/>
              </w:rPr>
              <w:t xml:space="preserve"> del impuesto causado</w:t>
            </w:r>
            <w:r>
              <w:rPr>
                <w:rFonts w:ascii="Cambria" w:hAnsi="Cambria"/>
                <w:sz w:val="20"/>
                <w:szCs w:val="20"/>
              </w:rPr>
              <w:t xml:space="preserve"> </w:t>
            </w:r>
            <w:r w:rsidRPr="00C742BB">
              <w:rPr>
                <w:rFonts w:ascii="Cambria" w:hAnsi="Cambria"/>
                <w:sz w:val="20"/>
                <w:szCs w:val="20"/>
                <w:highlight w:val="yellow"/>
              </w:rPr>
              <w:t>antes de considerar el efecto del mecanismo de no causación</w:t>
            </w:r>
            <w:r w:rsidRPr="00C742BB">
              <w:rPr>
                <w:rFonts w:ascii="Cambria" w:hAnsi="Cambria"/>
                <w:sz w:val="20"/>
                <w:szCs w:val="20"/>
              </w:rPr>
              <w:t>. El uso de la</w:t>
            </w:r>
            <w:r>
              <w:rPr>
                <w:rFonts w:ascii="Cambria" w:hAnsi="Cambria"/>
                <w:sz w:val="20"/>
                <w:szCs w:val="20"/>
              </w:rPr>
              <w:t xml:space="preserve"> </w:t>
            </w:r>
            <w:r w:rsidRPr="00C742BB">
              <w:rPr>
                <w:rFonts w:ascii="Cambria" w:hAnsi="Cambria"/>
                <w:sz w:val="20"/>
                <w:szCs w:val="20"/>
                <w:highlight w:val="yellow"/>
              </w:rPr>
              <w:t>compensació</w:t>
            </w:r>
            <w:r>
              <w:rPr>
                <w:rFonts w:ascii="Cambria" w:hAnsi="Cambria"/>
                <w:sz w:val="20"/>
                <w:szCs w:val="20"/>
              </w:rPr>
              <w:t xml:space="preserve">n, </w:t>
            </w:r>
            <w:r w:rsidRPr="00892D15">
              <w:rPr>
                <w:rFonts w:ascii="Cambria" w:hAnsi="Cambria"/>
                <w:sz w:val="20"/>
                <w:szCs w:val="20"/>
                <w:highlight w:val="yellow"/>
              </w:rPr>
              <w:t>para la no causación del impuesto al carbono</w:t>
            </w:r>
            <w:r w:rsidRPr="00C742BB">
              <w:rPr>
                <w:rFonts w:ascii="Cambria" w:hAnsi="Cambria"/>
                <w:sz w:val="20"/>
                <w:szCs w:val="20"/>
              </w:rPr>
              <w:t xml:space="preserve"> no podrá volver a ser utilizada para obtener el mismo beneficio ni ningún otro tratamiento tributario.</w:t>
            </w:r>
          </w:p>
          <w:p w:rsidR="00C742BB" w:rsidRDefault="00C742BB"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2o. </w:t>
            </w:r>
            <w:r w:rsidRPr="00C742BB">
              <w:rPr>
                <w:rFonts w:ascii="Cambria" w:hAnsi="Cambria"/>
                <w:sz w:val="20"/>
                <w:szCs w:val="20"/>
              </w:rPr>
              <w:t>En el caso del carbón, el impuesto no se causa para el carbón de coquerías.</w:t>
            </w:r>
          </w:p>
          <w:p w:rsidR="00C742BB" w:rsidRDefault="00C742BB" w:rsidP="00C742BB">
            <w:pPr>
              <w:jc w:val="both"/>
              <w:rPr>
                <w:rStyle w:val="baj"/>
                <w:rFonts w:ascii="Cambria" w:hAnsi="Cambria" w:cs="Open Sans"/>
                <w:b/>
                <w:bCs/>
                <w:color w:val="000000"/>
                <w:sz w:val="20"/>
                <w:szCs w:val="20"/>
              </w:rPr>
            </w:pPr>
          </w:p>
          <w:p w:rsidR="00C742BB" w:rsidRPr="00C742BB"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3o. </w:t>
            </w:r>
            <w:r w:rsidRPr="00C742BB">
              <w:rPr>
                <w:rFonts w:ascii="Cambria" w:hAnsi="Cambria"/>
                <w:sz w:val="20"/>
                <w:szCs w:val="20"/>
              </w:rPr>
              <w:t xml:space="preserve">En el caso del gas licuado de petróleo, el impuesto </w:t>
            </w:r>
            <w:r w:rsidR="00892D15" w:rsidRPr="00892D15">
              <w:rPr>
                <w:rFonts w:ascii="Cambria" w:hAnsi="Cambria"/>
                <w:sz w:val="20"/>
                <w:szCs w:val="20"/>
                <w:highlight w:val="yellow"/>
              </w:rPr>
              <w:t>no</w:t>
            </w:r>
            <w:r w:rsidRPr="00892D15">
              <w:rPr>
                <w:rFonts w:ascii="Cambria" w:hAnsi="Cambria"/>
                <w:sz w:val="20"/>
                <w:szCs w:val="20"/>
                <w:highlight w:val="yellow"/>
              </w:rPr>
              <w:t xml:space="preserve"> se</w:t>
            </w:r>
            <w:r w:rsidRPr="00C742BB">
              <w:rPr>
                <w:rFonts w:ascii="Cambria" w:hAnsi="Cambria"/>
                <w:sz w:val="20"/>
                <w:szCs w:val="20"/>
              </w:rPr>
              <w:t xml:space="preserve"> causa en</w:t>
            </w:r>
            <w:r w:rsidR="00892D15">
              <w:rPr>
                <w:rFonts w:ascii="Cambria" w:hAnsi="Cambria"/>
                <w:sz w:val="20"/>
                <w:szCs w:val="20"/>
              </w:rPr>
              <w:t xml:space="preserve"> </w:t>
            </w:r>
            <w:r w:rsidR="00892D15" w:rsidRPr="00892D15">
              <w:rPr>
                <w:rFonts w:ascii="Cambria" w:hAnsi="Cambria"/>
                <w:sz w:val="20"/>
                <w:szCs w:val="20"/>
                <w:highlight w:val="yellow"/>
              </w:rPr>
              <w:t>los usos residenciales</w:t>
            </w:r>
            <w:r w:rsidRPr="00892D15">
              <w:rPr>
                <w:rFonts w:ascii="Cambria" w:hAnsi="Cambria"/>
                <w:sz w:val="20"/>
                <w:szCs w:val="20"/>
                <w:highlight w:val="yellow"/>
              </w:rPr>
              <w:t>.</w:t>
            </w:r>
          </w:p>
          <w:p w:rsidR="00C742BB" w:rsidRDefault="00C742BB" w:rsidP="00C742BB">
            <w:pPr>
              <w:jc w:val="both"/>
              <w:rPr>
                <w:rStyle w:val="baj"/>
                <w:rFonts w:ascii="Cambria" w:hAnsi="Cambria" w:cs="Open Sans"/>
                <w:b/>
                <w:bCs/>
                <w:color w:val="000000"/>
                <w:sz w:val="20"/>
                <w:szCs w:val="20"/>
              </w:rPr>
            </w:pPr>
          </w:p>
          <w:p w:rsidR="00C742BB" w:rsidRPr="00892D15" w:rsidRDefault="00C742BB" w:rsidP="00C742BB">
            <w:pPr>
              <w:jc w:val="both"/>
              <w:rPr>
                <w:rFonts w:ascii="Cambria" w:hAnsi="Cambria"/>
                <w:sz w:val="20"/>
                <w:szCs w:val="20"/>
              </w:rPr>
            </w:pPr>
            <w:r w:rsidRPr="00C742BB">
              <w:rPr>
                <w:rStyle w:val="baj"/>
                <w:rFonts w:ascii="Cambria" w:hAnsi="Cambria" w:cs="Open Sans"/>
                <w:b/>
                <w:bCs/>
                <w:color w:val="000000"/>
                <w:sz w:val="20"/>
                <w:szCs w:val="20"/>
              </w:rPr>
              <w:t>PARÁGRAFO 4o. </w:t>
            </w:r>
            <w:r w:rsidR="00892D15" w:rsidRPr="00892D15">
              <w:rPr>
                <w:rFonts w:ascii="Cambria" w:hAnsi="Cambria"/>
                <w:sz w:val="20"/>
                <w:szCs w:val="20"/>
                <w:highlight w:val="yellow"/>
              </w:rPr>
              <w:t>El Ministerio de Ambiente y Desarrollo Sostenible deberá establecer mecanismos de control y definir criterios técnicos para los resultados de mitigación de GEI que se utilicen para optar al mecanismo de no causación de que trata el parágrafo 1 del presente artículo</w:t>
            </w:r>
            <w:r w:rsidR="00892D15" w:rsidRPr="00892D15">
              <w:rPr>
                <w:rFonts w:ascii="Cambria" w:hAnsi="Cambria"/>
                <w:sz w:val="20"/>
                <w:szCs w:val="20"/>
              </w:rPr>
              <w:t xml:space="preserve"> </w:t>
            </w:r>
          </w:p>
          <w:p w:rsidR="00C742BB" w:rsidRDefault="00C742BB" w:rsidP="00C742BB">
            <w:pPr>
              <w:jc w:val="both"/>
              <w:rPr>
                <w:rStyle w:val="baj"/>
                <w:rFonts w:ascii="Cambria" w:hAnsi="Cambria" w:cs="Open Sans"/>
                <w:b/>
                <w:bCs/>
                <w:color w:val="000000"/>
                <w:sz w:val="20"/>
                <w:szCs w:val="20"/>
              </w:rPr>
            </w:pPr>
          </w:p>
          <w:p w:rsidR="00C742BB" w:rsidRDefault="00C742BB" w:rsidP="001E41C9">
            <w:pPr>
              <w:jc w:val="both"/>
              <w:rPr>
                <w:rFonts w:ascii="Cambria" w:hAnsi="Cambria"/>
                <w:sz w:val="20"/>
                <w:szCs w:val="20"/>
              </w:rPr>
            </w:pPr>
          </w:p>
          <w:p w:rsidR="001E41C9" w:rsidRPr="00C742BB" w:rsidRDefault="001E41C9" w:rsidP="001E41C9">
            <w:pPr>
              <w:jc w:val="both"/>
              <w:rPr>
                <w:rFonts w:ascii="Cambria" w:hAnsi="Cambria"/>
                <w:sz w:val="20"/>
                <w:szCs w:val="20"/>
              </w:rPr>
            </w:pPr>
            <w:r>
              <w:rPr>
                <w:rFonts w:ascii="Cambria" w:hAnsi="Cambria"/>
                <w:sz w:val="20"/>
                <w:szCs w:val="20"/>
              </w:rPr>
              <w:lastRenderedPageBreak/>
              <w:t>Derogado</w:t>
            </w:r>
          </w:p>
        </w:tc>
      </w:tr>
      <w:tr w:rsidR="00E906EC" w:rsidTr="0092734A">
        <w:tc>
          <w:tcPr>
            <w:tcW w:w="4414" w:type="dxa"/>
          </w:tcPr>
          <w:p w:rsidR="00E906EC" w:rsidRPr="00E906EC" w:rsidRDefault="00E906EC" w:rsidP="00E906EC">
            <w:pPr>
              <w:jc w:val="both"/>
              <w:rPr>
                <w:rFonts w:ascii="Cambria" w:hAnsi="Cambria"/>
                <w:sz w:val="20"/>
                <w:szCs w:val="20"/>
              </w:rPr>
            </w:pPr>
            <w:bookmarkStart w:id="65" w:name="222"/>
            <w:r w:rsidRPr="00E906EC">
              <w:rPr>
                <w:rFonts w:ascii="Cambria" w:hAnsi="Cambria"/>
                <w:b/>
                <w:bCs/>
                <w:color w:val="000000" w:themeColor="text1"/>
                <w:sz w:val="20"/>
                <w:szCs w:val="20"/>
              </w:rPr>
              <w:lastRenderedPageBreak/>
              <w:t>Artículo 222. Base gravable y tarifa</w:t>
            </w:r>
            <w:r w:rsidRPr="00E906EC">
              <w:rPr>
                <w:rFonts w:ascii="Cambria" w:hAnsi="Cambria"/>
                <w:b/>
                <w:bCs/>
                <w:color w:val="BE9E55"/>
                <w:sz w:val="20"/>
                <w:szCs w:val="20"/>
              </w:rPr>
              <w:t>.</w:t>
            </w:r>
            <w:bookmarkEnd w:id="65"/>
            <w:r w:rsidRPr="00E906EC">
              <w:rPr>
                <w:rFonts w:ascii="Cambria" w:hAnsi="Cambria"/>
                <w:sz w:val="20"/>
                <w:szCs w:val="20"/>
              </w:rPr>
              <w:t>  El impuesto nacional al carbono tendrá una tarifa específica considerando el factor de emisión de gases de efecto invernadero (GEI) para cada combustible determinado, expresado en unidad de peso (kilogramo de C02eq) por unidad energética (</w:t>
            </w:r>
            <w:proofErr w:type="spellStart"/>
            <w:r w:rsidRPr="00E906EC">
              <w:rPr>
                <w:rFonts w:ascii="Cambria" w:hAnsi="Cambria"/>
                <w:sz w:val="20"/>
                <w:szCs w:val="20"/>
              </w:rPr>
              <w:t>terajulios</w:t>
            </w:r>
            <w:proofErr w:type="spellEnd"/>
            <w:r w:rsidRPr="00E906EC">
              <w:rPr>
                <w:rFonts w:ascii="Cambria" w:hAnsi="Cambria"/>
                <w:sz w:val="20"/>
                <w:szCs w:val="20"/>
              </w:rPr>
              <w:t xml:space="preserve">), de acuerdo con el volumen o peso del combustible. La tarifa corresponderá a </w:t>
            </w:r>
            <w:r w:rsidRPr="00E906EC">
              <w:rPr>
                <w:rFonts w:ascii="Cambria" w:hAnsi="Cambria"/>
                <w:sz w:val="20"/>
                <w:szCs w:val="20"/>
                <w:highlight w:val="yellow"/>
              </w:rPr>
              <w:t>veinte mil quinientos pesos ($20.500)</w:t>
            </w:r>
            <w:r w:rsidR="002003F0">
              <w:rPr>
                <w:rFonts w:ascii="Cambria" w:hAnsi="Cambria"/>
                <w:sz w:val="20"/>
                <w:szCs w:val="20"/>
              </w:rPr>
              <w:t>*</w:t>
            </w:r>
            <w:r w:rsidRPr="00E906EC">
              <w:rPr>
                <w:rFonts w:ascii="Cambria" w:hAnsi="Cambria"/>
                <w:sz w:val="20"/>
                <w:szCs w:val="20"/>
              </w:rPr>
              <w:t xml:space="preserve"> por tonelada de carbono equivalente (C02eq). Los valores de la tarifa por unidad de combustible serán los siguientes:</w:t>
            </w:r>
          </w:p>
          <w:p w:rsidR="00E906EC" w:rsidRDefault="00E906EC"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Default="002003F0" w:rsidP="00E906EC">
            <w:pPr>
              <w:jc w:val="both"/>
              <w:rPr>
                <w:rFonts w:ascii="Cambria" w:hAnsi="Cambria"/>
                <w:sz w:val="20"/>
                <w:szCs w:val="20"/>
              </w:rPr>
            </w:pPr>
            <w:r>
              <w:rPr>
                <w:rFonts w:ascii="Cambria" w:hAnsi="Cambria"/>
                <w:sz w:val="20"/>
                <w:szCs w:val="20"/>
              </w:rPr>
              <w:t xml:space="preserve">(*Nota Para el 2025 esa cifra fue actualizada a $27.399) con el </w:t>
            </w:r>
            <w:hyperlink r:id="rId110" w:history="1">
              <w:proofErr w:type="spellStart"/>
              <w:r w:rsidRPr="002003F0">
                <w:rPr>
                  <w:rStyle w:val="Hipervnculo"/>
                  <w:rFonts w:ascii="Cambria" w:hAnsi="Cambria"/>
                  <w:sz w:val="20"/>
                  <w:szCs w:val="20"/>
                </w:rPr>
                <w:t>artí</w:t>
              </w:r>
              <w:proofErr w:type="spellEnd"/>
              <w:r w:rsidRPr="002003F0">
                <w:rPr>
                  <w:rStyle w:val="Hipervnculo"/>
                  <w:rFonts w:ascii="Cambria" w:hAnsi="Cambria"/>
                  <w:sz w:val="20"/>
                  <w:szCs w:val="20"/>
                  <w:lang w:val="es-ES"/>
                </w:rPr>
                <w:t xml:space="preserve">culo 2 </w:t>
              </w:r>
              <w:r w:rsidRPr="002003F0">
                <w:rPr>
                  <w:rStyle w:val="Hipervnculo"/>
                  <w:rFonts w:ascii="Cambria" w:hAnsi="Cambria"/>
                  <w:sz w:val="20"/>
                  <w:szCs w:val="20"/>
                </w:rPr>
                <w:t>la Resolución 008 de enero 31 de 2025</w:t>
              </w:r>
            </w:hyperlink>
            <w:r>
              <w:rPr>
                <w:rFonts w:ascii="Cambria" w:hAnsi="Cambria"/>
                <w:sz w:val="20"/>
                <w:szCs w:val="20"/>
              </w:rPr>
              <w:t xml:space="preserve"> </w:t>
            </w:r>
          </w:p>
          <w:p w:rsidR="00E906EC" w:rsidRPr="00E906EC" w:rsidRDefault="00E906EC" w:rsidP="00E906EC">
            <w:pPr>
              <w:jc w:val="both"/>
              <w:rPr>
                <w:rFonts w:ascii="Cambria" w:hAnsi="Cambria"/>
                <w:sz w:val="20"/>
                <w:szCs w:val="20"/>
              </w:rPr>
            </w:pPr>
          </w:p>
          <w:p w:rsidR="00E906EC" w:rsidRDefault="002003F0" w:rsidP="00E906EC">
            <w:pPr>
              <w:jc w:val="both"/>
              <w:rPr>
                <w:rFonts w:ascii="Cambria" w:hAnsi="Cambria"/>
                <w:sz w:val="20"/>
                <w:szCs w:val="20"/>
              </w:rPr>
            </w:pPr>
            <w:r>
              <w:rPr>
                <w:rFonts w:ascii="Cambria" w:hAnsi="Cambria"/>
                <w:sz w:val="20"/>
                <w:szCs w:val="20"/>
              </w:rPr>
              <w:t xml:space="preserve">(Nota: a continuación se presentan los valores que rigen durante el actual año 2025 de acuerdo con la </w:t>
            </w:r>
            <w:hyperlink r:id="rId111" w:history="1">
              <w:r w:rsidRPr="002003F0">
                <w:rPr>
                  <w:rStyle w:val="Hipervnculo"/>
                  <w:rFonts w:ascii="Cambria" w:hAnsi="Cambria"/>
                  <w:sz w:val="20"/>
                  <w:szCs w:val="20"/>
                </w:rPr>
                <w:t>actualización que hizo la DIAN con su Resolución 0008 de enero 31 de 2025</w:t>
              </w:r>
            </w:hyperlink>
            <w:r>
              <w:rPr>
                <w:rFonts w:ascii="Cambria" w:hAnsi="Cambria"/>
                <w:sz w:val="20"/>
                <w:szCs w:val="20"/>
              </w:rPr>
              <w:t>)</w:t>
            </w:r>
          </w:p>
          <w:p w:rsidR="002003F0" w:rsidRPr="00E906EC" w:rsidRDefault="002003F0" w:rsidP="00E906EC">
            <w:pPr>
              <w:jc w:val="both"/>
              <w:rPr>
                <w:rFonts w:ascii="Cambria" w:hAnsi="Cambria"/>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45"/>
              <w:gridCol w:w="1411"/>
              <w:gridCol w:w="1426"/>
            </w:tblGrid>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Combustible fósil</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Unidad</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Tarifa/unidad</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Carbón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Tonelada</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2003F0">
                    <w:rPr>
                      <w:rFonts w:ascii="Cambria" w:hAnsi="Cambria"/>
                      <w:sz w:val="20"/>
                      <w:szCs w:val="20"/>
                      <w:highlight w:val="yellow"/>
                    </w:rPr>
                    <w:t xml:space="preserve">$ </w:t>
                  </w:r>
                  <w:r w:rsidR="002003F0" w:rsidRPr="002003F0">
                    <w:rPr>
                      <w:rFonts w:ascii="Cambria" w:hAnsi="Cambria"/>
                      <w:sz w:val="20"/>
                      <w:szCs w:val="20"/>
                      <w:highlight w:val="yellow"/>
                    </w:rPr>
                    <w:t>69.787</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 xml:space="preserve">Fuel </w:t>
                  </w:r>
                  <w:proofErr w:type="spellStart"/>
                  <w:r w:rsidRPr="00E906EC">
                    <w:rPr>
                      <w:rFonts w:ascii="Cambria" w:hAnsi="Cambria"/>
                      <w:sz w:val="20"/>
                      <w:szCs w:val="20"/>
                    </w:rPr>
                    <w:t>oil</w:t>
                  </w:r>
                  <w:proofErr w:type="spellEnd"/>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62175" w:rsidRDefault="00E906EC" w:rsidP="00E906EC">
                  <w:pPr>
                    <w:jc w:val="both"/>
                    <w:rPr>
                      <w:rFonts w:ascii="Cambria" w:hAnsi="Cambria"/>
                      <w:sz w:val="20"/>
                      <w:szCs w:val="20"/>
                      <w:highlight w:val="yellow"/>
                    </w:rPr>
                  </w:pPr>
                  <w:r w:rsidRPr="00E62175">
                    <w:rPr>
                      <w:rFonts w:ascii="Cambria" w:hAnsi="Cambria"/>
                      <w:sz w:val="20"/>
                      <w:szCs w:val="20"/>
                      <w:highlight w:val="yellow"/>
                    </w:rPr>
                    <w:t>$</w:t>
                  </w:r>
                  <w:r w:rsidR="002003F0">
                    <w:rPr>
                      <w:rFonts w:ascii="Cambria" w:hAnsi="Cambria"/>
                      <w:sz w:val="20"/>
                      <w:szCs w:val="20"/>
                      <w:highlight w:val="yellow"/>
                    </w:rPr>
                    <w:t>318,10</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ACPM</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62175" w:rsidRDefault="00E906EC" w:rsidP="00E906EC">
                  <w:pPr>
                    <w:jc w:val="both"/>
                    <w:rPr>
                      <w:rFonts w:ascii="Cambria" w:hAnsi="Cambria"/>
                      <w:sz w:val="20"/>
                      <w:szCs w:val="20"/>
                      <w:highlight w:val="yellow"/>
                    </w:rPr>
                  </w:pPr>
                  <w:r w:rsidRPr="00E62175">
                    <w:rPr>
                      <w:rFonts w:ascii="Cambria" w:hAnsi="Cambria"/>
                      <w:sz w:val="20"/>
                      <w:szCs w:val="20"/>
                      <w:highlight w:val="yellow"/>
                    </w:rPr>
                    <w:t>$</w:t>
                  </w:r>
                  <w:r w:rsidR="002003F0">
                    <w:rPr>
                      <w:rFonts w:ascii="Cambria" w:hAnsi="Cambria"/>
                      <w:sz w:val="20"/>
                      <w:szCs w:val="20"/>
                      <w:highlight w:val="yellow"/>
                    </w:rPr>
                    <w:t>223,69</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Jet fuel</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Pr="002003F0">
                    <w:rPr>
                      <w:rFonts w:ascii="Cambria" w:hAnsi="Cambria"/>
                      <w:sz w:val="20"/>
                      <w:szCs w:val="20"/>
                      <w:highlight w:val="yellow"/>
                    </w:rPr>
                    <w:t>2</w:t>
                  </w:r>
                  <w:r w:rsidR="002003F0" w:rsidRPr="002003F0">
                    <w:rPr>
                      <w:rFonts w:ascii="Cambria" w:hAnsi="Cambria"/>
                      <w:sz w:val="20"/>
                      <w:szCs w:val="20"/>
                      <w:highlight w:val="yellow"/>
                    </w:rPr>
                    <w:t>69,98</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Kerosene</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002003F0" w:rsidRPr="002003F0">
                    <w:rPr>
                      <w:rFonts w:ascii="Cambria" w:hAnsi="Cambria"/>
                      <w:sz w:val="20"/>
                      <w:szCs w:val="20"/>
                      <w:highlight w:val="yellow"/>
                    </w:rPr>
                    <w:t>263,30</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Gasolina</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Pr="002003F0">
                    <w:rPr>
                      <w:rFonts w:ascii="Cambria" w:hAnsi="Cambria"/>
                      <w:sz w:val="20"/>
                      <w:szCs w:val="20"/>
                      <w:highlight w:val="yellow"/>
                    </w:rPr>
                    <w:t>1</w:t>
                  </w:r>
                  <w:r w:rsidR="002003F0" w:rsidRPr="002003F0">
                    <w:rPr>
                      <w:rFonts w:ascii="Cambria" w:hAnsi="Cambria"/>
                      <w:sz w:val="20"/>
                      <w:szCs w:val="20"/>
                      <w:highlight w:val="yellow"/>
                    </w:rPr>
                    <w:t>97,93</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Gas licuado de petróleo</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Pr="002003F0">
                    <w:rPr>
                      <w:rFonts w:ascii="Cambria" w:hAnsi="Cambria"/>
                      <w:sz w:val="20"/>
                      <w:szCs w:val="20"/>
                      <w:highlight w:val="yellow"/>
                    </w:rPr>
                    <w:t>1</w:t>
                  </w:r>
                  <w:r w:rsidR="002003F0" w:rsidRPr="002003F0">
                    <w:rPr>
                      <w:rFonts w:ascii="Cambria" w:hAnsi="Cambria"/>
                      <w:sz w:val="20"/>
                      <w:szCs w:val="20"/>
                      <w:highlight w:val="yellow"/>
                    </w:rPr>
                    <w:t>79,10</w:t>
                  </w:r>
                </w:p>
              </w:tc>
            </w:tr>
            <w:tr w:rsidR="00E906EC" w:rsidRPr="00E906EC" w:rsidTr="00C742BB">
              <w:trPr>
                <w:tblCellSpacing w:w="15" w:type="dxa"/>
              </w:trPr>
              <w:tc>
                <w:tcPr>
                  <w:tcW w:w="16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Gas natural</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Metro cúbico</w:t>
                  </w:r>
                </w:p>
              </w:tc>
              <w:tc>
                <w:tcPr>
                  <w:tcW w:w="1700"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002003F0" w:rsidRPr="002003F0">
                    <w:rPr>
                      <w:rFonts w:ascii="Cambria" w:hAnsi="Cambria"/>
                      <w:sz w:val="20"/>
                      <w:szCs w:val="20"/>
                      <w:highlight w:val="yellow"/>
                    </w:rPr>
                    <w:t>42,16</w:t>
                  </w:r>
                </w:p>
              </w:tc>
            </w:tr>
          </w:tbl>
          <w:p w:rsidR="00E906EC" w:rsidRDefault="00E906EC" w:rsidP="00E906EC">
            <w:pPr>
              <w:jc w:val="both"/>
              <w:rPr>
                <w:rFonts w:ascii="Cambria" w:hAnsi="Cambria"/>
                <w:sz w:val="20"/>
                <w:szCs w:val="20"/>
              </w:rPr>
            </w:pPr>
          </w:p>
          <w:p w:rsidR="00E62175" w:rsidRPr="00E906EC" w:rsidRDefault="00E62175"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 xml:space="preserve">Corresponde a la U.A.E. Dirección de Impuestos y Aduanas Nacionales (DIAN) el recaudo y la administración del impuesto nacional al carbono, para lo cual tendrá las facultades consagradas en el Estatuto Tributario para la investigación, determinación, control, discusión, devolución y cobro de los impuestos de su competencia, y para la aplicación de las sanciones contempladas en el </w:t>
            </w:r>
            <w:r w:rsidRPr="00E906EC">
              <w:rPr>
                <w:rFonts w:ascii="Cambria" w:hAnsi="Cambria"/>
                <w:sz w:val="20"/>
                <w:szCs w:val="20"/>
              </w:rPr>
              <w:lastRenderedPageBreak/>
              <w:t>mismo y que sean compatibles con la naturaleza del impuesto. Así mismo aplicará el procedimiento establecido en el Estatuto Tributario.</w:t>
            </w:r>
          </w:p>
          <w:p w:rsidR="00E906EC" w:rsidRPr="00E906EC" w:rsidRDefault="00E906EC"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El impuesto se declarará y pagará bimestralmente, en la forma y plazos que establezca el Gobierno nacional.</w:t>
            </w:r>
          </w:p>
          <w:p w:rsidR="00E906EC" w:rsidRPr="00E906EC" w:rsidRDefault="00E906EC"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Los términos, condiciones y contenido de la declaración serán definidos por la U.A.E. Dirección de Impuestos y Aduanas Nacionales (DIAN).</w:t>
            </w:r>
          </w:p>
          <w:p w:rsidR="00E906EC" w:rsidRP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1o. </w:t>
            </w:r>
            <w:r w:rsidRPr="00E906EC">
              <w:rPr>
                <w:rFonts w:ascii="Cambria" w:hAnsi="Cambria"/>
                <w:sz w:val="20"/>
                <w:szCs w:val="20"/>
              </w:rPr>
              <w:t xml:space="preserve">La tarifa por tonelada de carbono equivalente (C02eq) se ajustará cada primero (1) de febrero con la variación en el Índice de Precios al Consumidor calculada por el Departamento Administrativo Nacional de Estadística (DANE) del año anterior más </w:t>
            </w:r>
            <w:r w:rsidRPr="00E62175">
              <w:rPr>
                <w:rFonts w:ascii="Cambria" w:hAnsi="Cambria"/>
                <w:sz w:val="20"/>
                <w:szCs w:val="20"/>
                <w:highlight w:val="yellow"/>
              </w:rPr>
              <w:t>un (1)</w:t>
            </w:r>
            <w:r w:rsidRPr="00E906EC">
              <w:rPr>
                <w:rFonts w:ascii="Cambria" w:hAnsi="Cambria"/>
                <w:sz w:val="20"/>
                <w:szCs w:val="20"/>
              </w:rPr>
              <w:t xml:space="preserve"> punto hasta que sea equivalente a tres (3) UVT por tonelada de carbono equivalente (C02eq). </w:t>
            </w:r>
            <w:r w:rsidRPr="00E62175">
              <w:rPr>
                <w:rFonts w:ascii="Cambria" w:hAnsi="Cambria"/>
                <w:sz w:val="20"/>
                <w:szCs w:val="20"/>
                <w:highlight w:val="yellow"/>
              </w:rPr>
              <w:t>En consecuencia, los valores por unidad de combustible crecerán a la misma tasa anteriormente expuesta. En el caso de los combustibles fósiles correspondientes a gas natural, gasolina y ACPM la tarifa se ajustará a partir del año 2024 en los mismos términos aquí establecidos.</w:t>
            </w:r>
          </w:p>
          <w:p w:rsidR="00E906EC" w:rsidRDefault="00E906EC" w:rsidP="00E906EC">
            <w:pPr>
              <w:jc w:val="both"/>
              <w:rPr>
                <w:rStyle w:val="baj"/>
                <w:rFonts w:ascii="Cambria" w:hAnsi="Cambria" w:cs="Open Sans"/>
                <w:b/>
                <w:bCs/>
                <w:color w:val="000000"/>
                <w:sz w:val="20"/>
                <w:szCs w:val="20"/>
              </w:rPr>
            </w:pPr>
          </w:p>
          <w:p w:rsidR="00E62175" w:rsidRPr="00E906EC" w:rsidRDefault="00E62175"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2o.</w:t>
            </w:r>
            <w:r w:rsidRPr="00E906EC">
              <w:rPr>
                <w:rFonts w:ascii="Cambria" w:hAnsi="Cambria"/>
                <w:sz w:val="20"/>
                <w:szCs w:val="20"/>
              </w:rPr>
              <w:t> El impuesto nacional al carbono será deducible del impuesto sobre la renta, en los términos del Artículo </w:t>
            </w:r>
            <w:hyperlink r:id="rId112" w:anchor="107" w:history="1">
              <w:r w:rsidRPr="00E906EC">
                <w:rPr>
                  <w:rStyle w:val="Hipervnculo"/>
                  <w:rFonts w:ascii="Cambria" w:hAnsi="Cambria" w:cs="Open Sans"/>
                  <w:color w:val="0073FF"/>
                  <w:sz w:val="20"/>
                  <w:szCs w:val="20"/>
                </w:rPr>
                <w:t>107</w:t>
              </w:r>
            </w:hyperlink>
            <w:r w:rsidRPr="00E906EC">
              <w:rPr>
                <w:rFonts w:ascii="Cambria" w:hAnsi="Cambria"/>
                <w:sz w:val="20"/>
                <w:szCs w:val="20"/>
              </w:rPr>
              <w:t> del Estatuto Tributario.</w:t>
            </w:r>
          </w:p>
          <w:p w:rsidR="00E906EC" w:rsidRP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3o.</w:t>
            </w:r>
            <w:r w:rsidRPr="00E906EC">
              <w:rPr>
                <w:rFonts w:ascii="Cambria" w:hAnsi="Cambria"/>
                <w:sz w:val="20"/>
                <w:szCs w:val="20"/>
              </w:rPr>
              <w:t> El alcohol carburante con destino a la mezcla con gasolina para los vehículos automotores y el biocombustible de origen vegetal, animal o producido a partir de residuos sólidos urbanos de producción nacional con destino a la mezcla con ACPM para uso en motores diésel, no están sujetos al impuesto nacional al carbono.</w:t>
            </w:r>
          </w:p>
          <w:p w:rsid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4o.</w:t>
            </w:r>
            <w:r w:rsidRPr="00E906EC">
              <w:rPr>
                <w:rFonts w:ascii="Cambria" w:hAnsi="Cambria"/>
                <w:sz w:val="20"/>
                <w:szCs w:val="20"/>
              </w:rPr>
              <w:t> Los combustibles a los que se refiere este Artículo no causarán el impuesto cuando sean exportados por el productor del combustible fósil y, en el caso del carbón por quien lo exporte.</w:t>
            </w:r>
          </w:p>
          <w:p w:rsid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5o.</w:t>
            </w:r>
            <w:r w:rsidRPr="00E906EC">
              <w:rPr>
                <w:rFonts w:ascii="Cambria" w:hAnsi="Cambria"/>
                <w:sz w:val="20"/>
                <w:szCs w:val="20"/>
              </w:rPr>
              <w:t xml:space="preserve"> La venta de diésel marino y combustibles utilizados para reaprovisionamiento de los buques en tráfico internacional es considerada como una exportación. En consecuencia, el </w:t>
            </w:r>
            <w:r w:rsidRPr="00E906EC">
              <w:rPr>
                <w:rFonts w:ascii="Cambria" w:hAnsi="Cambria"/>
                <w:sz w:val="20"/>
                <w:szCs w:val="20"/>
              </w:rPr>
              <w:lastRenderedPageBreak/>
              <w:t>reaprovisionamiento de combustibles de estos buques no será objeto de cobro del impuesto nacional al carbono. Para lo anterior; los distribuidores mayoristas deberán certificar al responsable del impuesto nacional al carbono, a más tardar el quinto (5) día hábil del mes siguiente en el que se realizó la venta del combustible por parte del productor al distribuidor mayorista y/o comercializador, para que el productor realice el reintegro del impuesto nacional al carbono al distribuidor.</w:t>
            </w:r>
          </w:p>
          <w:p w:rsidR="00E906EC" w:rsidRDefault="00E906EC" w:rsidP="00E906EC">
            <w:pPr>
              <w:jc w:val="both"/>
              <w:rPr>
                <w:rStyle w:val="baj"/>
                <w:rFonts w:ascii="Cambria" w:hAnsi="Cambria" w:cs="Open Sans"/>
                <w:b/>
                <w:bCs/>
                <w:color w:val="000000"/>
                <w:sz w:val="20"/>
                <w:szCs w:val="20"/>
              </w:rPr>
            </w:pPr>
          </w:p>
          <w:p w:rsid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6o.</w:t>
            </w:r>
            <w:r w:rsidRPr="00E906EC">
              <w:rPr>
                <w:rFonts w:ascii="Cambria" w:hAnsi="Cambria"/>
                <w:sz w:val="20"/>
                <w:szCs w:val="20"/>
              </w:rPr>
              <w:t> En el caso del carbón, la tarifa del impuesto se aplicará bajo la siguiente gradualidad:</w:t>
            </w:r>
          </w:p>
          <w:p w:rsidR="00D51D7B" w:rsidRPr="00E906EC" w:rsidRDefault="00D51D7B" w:rsidP="00E906EC">
            <w:pPr>
              <w:jc w:val="both"/>
              <w:rPr>
                <w:rFonts w:ascii="Cambria" w:hAnsi="Cambria"/>
                <w:sz w:val="20"/>
                <w:szCs w:val="20"/>
              </w:rPr>
            </w:pPr>
          </w:p>
          <w:p w:rsidR="00E906EC" w:rsidRPr="00D51D7B" w:rsidRDefault="00E906EC" w:rsidP="00E906EC">
            <w:pPr>
              <w:jc w:val="both"/>
              <w:rPr>
                <w:rFonts w:ascii="Cambria" w:hAnsi="Cambria"/>
                <w:sz w:val="20"/>
                <w:szCs w:val="20"/>
                <w:highlight w:val="yellow"/>
              </w:rPr>
            </w:pPr>
            <w:r w:rsidRPr="00D51D7B">
              <w:rPr>
                <w:rFonts w:ascii="Cambria" w:hAnsi="Cambria"/>
                <w:sz w:val="20"/>
                <w:szCs w:val="20"/>
                <w:highlight w:val="yellow"/>
              </w:rPr>
              <w:t>1. Para los años 2023 y 2024: cero por ciento (0%).</w:t>
            </w:r>
          </w:p>
          <w:p w:rsidR="00E906EC" w:rsidRPr="00D51D7B" w:rsidRDefault="00E906EC" w:rsidP="00E906EC">
            <w:pPr>
              <w:jc w:val="both"/>
              <w:rPr>
                <w:rFonts w:ascii="Cambria" w:hAnsi="Cambria"/>
                <w:sz w:val="20"/>
                <w:szCs w:val="20"/>
                <w:highlight w:val="yellow"/>
              </w:rPr>
            </w:pPr>
            <w:r w:rsidRPr="00D51D7B">
              <w:rPr>
                <w:rFonts w:ascii="Cambria" w:hAnsi="Cambria"/>
                <w:sz w:val="20"/>
                <w:szCs w:val="20"/>
                <w:highlight w:val="yellow"/>
              </w:rPr>
              <w:t>2. Para el año 2025: el veinticinco por ciento (25%) del valor de la tarifa plena.</w:t>
            </w:r>
          </w:p>
          <w:p w:rsidR="00E906EC" w:rsidRPr="00D51D7B" w:rsidRDefault="00E906EC" w:rsidP="00E906EC">
            <w:pPr>
              <w:jc w:val="both"/>
              <w:rPr>
                <w:rFonts w:ascii="Cambria" w:hAnsi="Cambria"/>
                <w:sz w:val="20"/>
                <w:szCs w:val="20"/>
                <w:highlight w:val="yellow"/>
              </w:rPr>
            </w:pPr>
            <w:r w:rsidRPr="00D51D7B">
              <w:rPr>
                <w:rFonts w:ascii="Cambria" w:hAnsi="Cambria"/>
                <w:sz w:val="20"/>
                <w:szCs w:val="20"/>
                <w:highlight w:val="yellow"/>
              </w:rPr>
              <w:t>3. Para el año 2026: el cincuenta por ciento (50%) del valor de la tarifa plena.</w:t>
            </w:r>
          </w:p>
          <w:p w:rsidR="00E906EC" w:rsidRPr="00D51D7B" w:rsidRDefault="00E906EC" w:rsidP="00E906EC">
            <w:pPr>
              <w:jc w:val="both"/>
              <w:rPr>
                <w:rFonts w:ascii="Cambria" w:hAnsi="Cambria"/>
                <w:sz w:val="20"/>
                <w:szCs w:val="20"/>
                <w:highlight w:val="yellow"/>
              </w:rPr>
            </w:pPr>
            <w:r w:rsidRPr="00D51D7B">
              <w:rPr>
                <w:rFonts w:ascii="Cambria" w:hAnsi="Cambria"/>
                <w:sz w:val="20"/>
                <w:szCs w:val="20"/>
                <w:highlight w:val="yellow"/>
              </w:rPr>
              <w:t>4. Para el año 2027: el setenta y cinco (75%) del valor de la tarifa plena.</w:t>
            </w:r>
          </w:p>
          <w:p w:rsidR="00E906EC" w:rsidRPr="00D51D7B" w:rsidRDefault="00E906EC" w:rsidP="00E906EC">
            <w:pPr>
              <w:jc w:val="both"/>
              <w:rPr>
                <w:rStyle w:val="baj"/>
                <w:rFonts w:ascii="Cambria" w:hAnsi="Cambria"/>
                <w:sz w:val="20"/>
                <w:szCs w:val="20"/>
              </w:rPr>
            </w:pPr>
            <w:r w:rsidRPr="00D51D7B">
              <w:rPr>
                <w:rFonts w:ascii="Cambria" w:hAnsi="Cambria"/>
                <w:sz w:val="20"/>
                <w:szCs w:val="20"/>
                <w:highlight w:val="yellow"/>
              </w:rPr>
              <w:t>5. A partir del año 2028</w:t>
            </w:r>
            <w:r w:rsidRPr="00E906EC">
              <w:rPr>
                <w:rFonts w:ascii="Cambria" w:hAnsi="Cambria"/>
                <w:sz w:val="20"/>
                <w:szCs w:val="20"/>
              </w:rPr>
              <w:t>: tarifa plena.</w:t>
            </w:r>
          </w:p>
          <w:p w:rsidR="00D51D7B" w:rsidRDefault="00D51D7B" w:rsidP="00E906EC">
            <w:pPr>
              <w:jc w:val="both"/>
              <w:rPr>
                <w:rStyle w:val="baj"/>
                <w:rFonts w:ascii="Cambria" w:hAnsi="Cambria" w:cs="Open Sans"/>
                <w:b/>
                <w:bCs/>
                <w:color w:val="000000"/>
                <w:sz w:val="20"/>
                <w:szCs w:val="20"/>
              </w:rPr>
            </w:pPr>
          </w:p>
          <w:p w:rsid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7o.</w:t>
            </w:r>
            <w:r w:rsidRPr="00E906EC">
              <w:rPr>
                <w:rFonts w:ascii="Cambria" w:hAnsi="Cambria"/>
                <w:sz w:val="20"/>
                <w:szCs w:val="20"/>
              </w:rPr>
              <w:t xml:space="preserve"> La tarifa del Impuesto al Carbono por unidad de combustible de la que trata este Artículo, en Amazonas, Caquetá, Guainía, Vichada, Guaviare, Putumayo, Vaupés y los municipios de </w:t>
            </w:r>
            <w:proofErr w:type="spellStart"/>
            <w:r w:rsidRPr="00E906EC">
              <w:rPr>
                <w:rFonts w:ascii="Cambria" w:hAnsi="Cambria"/>
                <w:sz w:val="20"/>
                <w:szCs w:val="20"/>
              </w:rPr>
              <w:t>Sipí</w:t>
            </w:r>
            <w:proofErr w:type="spellEnd"/>
            <w:r w:rsidRPr="00E906EC">
              <w:rPr>
                <w:rFonts w:ascii="Cambria" w:hAnsi="Cambria"/>
                <w:sz w:val="20"/>
                <w:szCs w:val="20"/>
              </w:rPr>
              <w:t xml:space="preserve">, Riosucio, Alto Baudó, Bajo Baudó, Acandí, </w:t>
            </w:r>
            <w:proofErr w:type="spellStart"/>
            <w:r w:rsidRPr="00E906EC">
              <w:rPr>
                <w:rFonts w:ascii="Cambria" w:hAnsi="Cambria"/>
                <w:sz w:val="20"/>
                <w:szCs w:val="20"/>
              </w:rPr>
              <w:t>Unguía</w:t>
            </w:r>
            <w:proofErr w:type="spellEnd"/>
            <w:r w:rsidRPr="00E906EC">
              <w:rPr>
                <w:rFonts w:ascii="Cambria" w:hAnsi="Cambria"/>
                <w:sz w:val="20"/>
                <w:szCs w:val="20"/>
              </w:rPr>
              <w:t xml:space="preserve">, Litoral de San Juan, Bojayá, Medio Atrato, Bahía Solano, </w:t>
            </w:r>
            <w:proofErr w:type="spellStart"/>
            <w:r w:rsidRPr="00E906EC">
              <w:rPr>
                <w:rFonts w:ascii="Cambria" w:hAnsi="Cambria"/>
                <w:sz w:val="20"/>
                <w:szCs w:val="20"/>
              </w:rPr>
              <w:t>Juradó</w:t>
            </w:r>
            <w:proofErr w:type="spellEnd"/>
            <w:r w:rsidRPr="00E906EC">
              <w:rPr>
                <w:rFonts w:ascii="Cambria" w:hAnsi="Cambria"/>
                <w:sz w:val="20"/>
                <w:szCs w:val="20"/>
              </w:rPr>
              <w:t xml:space="preserve"> y Carmen del Darién del departamento del Chocó, para la gasolina, ACPM y Jet fuel, será de cero pesos ($0).</w:t>
            </w:r>
          </w:p>
          <w:p w:rsidR="00D51D7B" w:rsidRPr="00E906EC" w:rsidRDefault="00D51D7B" w:rsidP="00E906EC">
            <w:pPr>
              <w:jc w:val="both"/>
              <w:rPr>
                <w:rFonts w:ascii="Cambria" w:hAnsi="Cambria"/>
                <w:sz w:val="20"/>
                <w:szCs w:val="20"/>
              </w:rPr>
            </w:pPr>
          </w:p>
          <w:p w:rsidR="00E906EC" w:rsidRDefault="00E906EC" w:rsidP="00E906EC">
            <w:pPr>
              <w:jc w:val="both"/>
              <w:rPr>
                <w:rFonts w:ascii="Cambria" w:hAnsi="Cambria"/>
                <w:sz w:val="20"/>
                <w:szCs w:val="20"/>
              </w:rPr>
            </w:pPr>
            <w:r w:rsidRPr="00E906EC">
              <w:rPr>
                <w:rFonts w:ascii="Cambria" w:hAnsi="Cambria"/>
                <w:sz w:val="20"/>
                <w:szCs w:val="20"/>
              </w:rPr>
              <w:t>Los municipios y departamentos que desarrollen actividades de explotación de hidrocarburos o refinamiento de combustibles perderán el beneficio de que trata este parágrafo y se les aplicará la tarifa plena del Impuesto Nacional al Carbono.</w:t>
            </w:r>
          </w:p>
          <w:p w:rsidR="00E906EC" w:rsidRDefault="00E906EC" w:rsidP="00E906EC">
            <w:pPr>
              <w:jc w:val="both"/>
              <w:rPr>
                <w:rStyle w:val="baj"/>
                <w:rFonts w:ascii="Cambria" w:hAnsi="Cambria" w:cs="Open Sans"/>
                <w:b/>
                <w:bCs/>
                <w:color w:val="000000"/>
                <w:sz w:val="20"/>
                <w:szCs w:val="20"/>
              </w:rPr>
            </w:pPr>
          </w:p>
          <w:p w:rsidR="00E906EC" w:rsidRPr="00D51D7B" w:rsidRDefault="00E906EC" w:rsidP="00E906EC">
            <w:pPr>
              <w:jc w:val="both"/>
              <w:rPr>
                <w:rFonts w:ascii="Cambria" w:hAnsi="Cambria"/>
                <w:sz w:val="20"/>
                <w:szCs w:val="20"/>
                <w:highlight w:val="yellow"/>
              </w:rPr>
            </w:pPr>
            <w:r w:rsidRPr="00D51D7B">
              <w:rPr>
                <w:rStyle w:val="baj"/>
                <w:rFonts w:ascii="Cambria" w:hAnsi="Cambria" w:cs="Open Sans"/>
                <w:b/>
                <w:bCs/>
                <w:color w:val="000000"/>
                <w:sz w:val="20"/>
                <w:szCs w:val="20"/>
                <w:highlight w:val="yellow"/>
              </w:rPr>
              <w:t>PARÁGRAFO 5o.</w:t>
            </w:r>
            <w:r w:rsidRPr="00D51D7B">
              <w:rPr>
                <w:rFonts w:ascii="Cambria" w:hAnsi="Cambria"/>
                <w:sz w:val="20"/>
                <w:szCs w:val="20"/>
                <w:highlight w:val="yellow"/>
              </w:rPr>
              <w:t> Los combustibles a los que se refiere este artículo no causarán el impuesto cuando sean exportados.</w:t>
            </w:r>
          </w:p>
          <w:p w:rsidR="00E906EC" w:rsidRPr="00D51D7B" w:rsidRDefault="00E906EC" w:rsidP="00E906EC">
            <w:pPr>
              <w:jc w:val="both"/>
              <w:rPr>
                <w:rStyle w:val="baj"/>
                <w:rFonts w:ascii="Cambria" w:hAnsi="Cambria" w:cs="Open Sans"/>
                <w:b/>
                <w:bCs/>
                <w:color w:val="000000"/>
                <w:sz w:val="20"/>
                <w:szCs w:val="20"/>
                <w:highlight w:val="yellow"/>
              </w:rPr>
            </w:pPr>
          </w:p>
          <w:p w:rsidR="00E906EC" w:rsidRPr="00E906EC" w:rsidRDefault="00E906EC" w:rsidP="00E906EC">
            <w:pPr>
              <w:jc w:val="both"/>
              <w:rPr>
                <w:rFonts w:ascii="Cambria" w:hAnsi="Cambria"/>
                <w:sz w:val="20"/>
                <w:szCs w:val="20"/>
              </w:rPr>
            </w:pPr>
            <w:r w:rsidRPr="00D51D7B">
              <w:rPr>
                <w:rStyle w:val="baj"/>
                <w:rFonts w:ascii="Cambria" w:hAnsi="Cambria" w:cs="Open Sans"/>
                <w:b/>
                <w:bCs/>
                <w:color w:val="000000"/>
                <w:sz w:val="20"/>
                <w:szCs w:val="20"/>
                <w:highlight w:val="yellow"/>
              </w:rPr>
              <w:t>PARÁGRAFO 6o.</w:t>
            </w:r>
            <w:r w:rsidRPr="00D51D7B">
              <w:rPr>
                <w:rFonts w:ascii="Cambria" w:hAnsi="Cambria"/>
                <w:sz w:val="20"/>
                <w:szCs w:val="20"/>
                <w:highlight w:val="yellow"/>
              </w:rPr>
              <w:t xml:space="preserve"> La venta de diésel marino y combustibles utilizados para reaprovisionamiento de los buques en tráfico internacional es considerada como una exportación. En consecuencia el reaprovisionamiento de combustibles de estos buques no será objeto de cobro del impuesto al </w:t>
            </w:r>
            <w:r w:rsidRPr="00D51D7B">
              <w:rPr>
                <w:rFonts w:ascii="Cambria" w:hAnsi="Cambria"/>
                <w:sz w:val="20"/>
                <w:szCs w:val="20"/>
                <w:highlight w:val="yellow"/>
              </w:rPr>
              <w:lastRenderedPageBreak/>
              <w:t>carbono. Para lo anterior, los distribuidores mayoristas deberán certificar al responsable del impuesto nacional a la gasolina y al ACPM, a más tardar el quinto (5o) día hábil del mes siguiente en el que se realizó la venta del combustible por parte del productor al distribuidor mayorista y/o comercializador, para que el productor realice el reintegro del impuesto nacional a la gasolina y al ACPM al distribuidor.</w:t>
            </w:r>
          </w:p>
          <w:p w:rsidR="00E906EC" w:rsidRPr="00E906EC" w:rsidRDefault="00E906EC" w:rsidP="00E906EC">
            <w:pPr>
              <w:jc w:val="both"/>
              <w:rPr>
                <w:rFonts w:ascii="Cambria" w:hAnsi="Cambria"/>
                <w:sz w:val="20"/>
                <w:szCs w:val="20"/>
              </w:rPr>
            </w:pPr>
          </w:p>
        </w:tc>
        <w:tc>
          <w:tcPr>
            <w:tcW w:w="4414" w:type="dxa"/>
          </w:tcPr>
          <w:p w:rsidR="00E906EC" w:rsidRPr="00E906EC" w:rsidRDefault="00E906EC" w:rsidP="00E906EC">
            <w:pPr>
              <w:jc w:val="both"/>
              <w:rPr>
                <w:rFonts w:ascii="Cambria" w:hAnsi="Cambria"/>
                <w:sz w:val="20"/>
                <w:szCs w:val="20"/>
              </w:rPr>
            </w:pPr>
            <w:r w:rsidRPr="00E906EC">
              <w:rPr>
                <w:rFonts w:ascii="Cambria" w:hAnsi="Cambria"/>
                <w:b/>
                <w:bCs/>
                <w:color w:val="000000" w:themeColor="text1"/>
                <w:sz w:val="20"/>
                <w:szCs w:val="20"/>
              </w:rPr>
              <w:lastRenderedPageBreak/>
              <w:t>Artículo 222. Base gravable y tarifa</w:t>
            </w:r>
            <w:r>
              <w:rPr>
                <w:rFonts w:ascii="Cambria" w:hAnsi="Cambria"/>
                <w:b/>
                <w:bCs/>
                <w:color w:val="000000" w:themeColor="text1"/>
                <w:sz w:val="20"/>
                <w:szCs w:val="20"/>
              </w:rPr>
              <w:t xml:space="preserve"> </w:t>
            </w:r>
            <w:r w:rsidRPr="00C742BB">
              <w:rPr>
                <w:rFonts w:ascii="Cambria" w:hAnsi="Cambria"/>
                <w:b/>
                <w:bCs/>
                <w:color w:val="FF0000"/>
                <w:sz w:val="20"/>
                <w:szCs w:val="20"/>
              </w:rPr>
              <w:t>(modificado con artículo 3</w:t>
            </w:r>
            <w:r>
              <w:rPr>
                <w:rFonts w:ascii="Cambria" w:hAnsi="Cambria"/>
                <w:b/>
                <w:bCs/>
                <w:color w:val="FF0000"/>
                <w:sz w:val="20"/>
                <w:szCs w:val="20"/>
              </w:rPr>
              <w:t>2</w:t>
            </w:r>
            <w:r w:rsidRPr="00C742BB">
              <w:rPr>
                <w:rFonts w:ascii="Cambria" w:hAnsi="Cambria"/>
                <w:b/>
                <w:bCs/>
                <w:color w:val="FF0000"/>
                <w:sz w:val="20"/>
                <w:szCs w:val="20"/>
              </w:rPr>
              <w:t xml:space="preserve"> proyecto de </w:t>
            </w:r>
            <w:r w:rsidR="00852E78">
              <w:rPr>
                <w:rFonts w:ascii="Cambria" w:hAnsi="Cambria"/>
                <w:b/>
                <w:bCs/>
                <w:color w:val="FF0000"/>
                <w:sz w:val="20"/>
                <w:szCs w:val="20"/>
              </w:rPr>
              <w:t>Ley septiembre de 2025</w:t>
            </w:r>
            <w:r w:rsidRPr="00C742BB">
              <w:rPr>
                <w:rFonts w:ascii="Cambria" w:hAnsi="Cambria"/>
                <w:b/>
                <w:bCs/>
                <w:color w:val="FF0000"/>
                <w:sz w:val="20"/>
                <w:szCs w:val="20"/>
              </w:rPr>
              <w:t>). </w:t>
            </w:r>
            <w:r w:rsidRPr="00E906EC">
              <w:rPr>
                <w:rFonts w:ascii="Cambria" w:hAnsi="Cambria"/>
                <w:b/>
                <w:bCs/>
                <w:color w:val="BE9E55"/>
                <w:sz w:val="20"/>
                <w:szCs w:val="20"/>
              </w:rPr>
              <w:t>.</w:t>
            </w:r>
            <w:r w:rsidRPr="00E906EC">
              <w:rPr>
                <w:rFonts w:ascii="Cambria" w:hAnsi="Cambria"/>
                <w:sz w:val="20"/>
                <w:szCs w:val="20"/>
              </w:rPr>
              <w:t>  El impuesto nacional al carbono tendrá una tarifa específica considerando el factor de emisión de gases de efecto invernadero (GEI) para cada combustible determinado, expresado en unidad de peso (kilogramo de C02eq) por unidad energética (</w:t>
            </w:r>
            <w:proofErr w:type="spellStart"/>
            <w:r w:rsidRPr="00E906EC">
              <w:rPr>
                <w:rFonts w:ascii="Cambria" w:hAnsi="Cambria"/>
                <w:sz w:val="20"/>
                <w:szCs w:val="20"/>
              </w:rPr>
              <w:t>terajulios</w:t>
            </w:r>
            <w:proofErr w:type="spellEnd"/>
            <w:r w:rsidRPr="00E906EC">
              <w:rPr>
                <w:rFonts w:ascii="Cambria" w:hAnsi="Cambria"/>
                <w:sz w:val="20"/>
                <w:szCs w:val="20"/>
              </w:rPr>
              <w:t xml:space="preserve">), de acuerdo con el volumen o peso del combustible. La tarifa corresponderá a </w:t>
            </w:r>
            <w:r w:rsidRPr="00E906EC">
              <w:rPr>
                <w:rFonts w:ascii="Cambria" w:hAnsi="Cambria"/>
                <w:sz w:val="20"/>
                <w:szCs w:val="20"/>
                <w:highlight w:val="yellow"/>
              </w:rPr>
              <w:t>$42.609</w:t>
            </w:r>
            <w:r w:rsidRPr="00E906EC">
              <w:rPr>
                <w:rFonts w:ascii="Cambria" w:hAnsi="Cambria"/>
                <w:sz w:val="20"/>
                <w:szCs w:val="20"/>
              </w:rPr>
              <w:t xml:space="preserve"> </w:t>
            </w:r>
            <w:r w:rsidRPr="00E906EC">
              <w:rPr>
                <w:rFonts w:ascii="Cambria" w:hAnsi="Cambria"/>
                <w:sz w:val="20"/>
                <w:szCs w:val="20"/>
                <w:highlight w:val="yellow"/>
              </w:rPr>
              <w:t>para el 2026</w:t>
            </w:r>
            <w:r>
              <w:rPr>
                <w:rFonts w:ascii="Cambria" w:hAnsi="Cambria"/>
                <w:sz w:val="20"/>
                <w:szCs w:val="20"/>
              </w:rPr>
              <w:t xml:space="preserve"> </w:t>
            </w:r>
            <w:r w:rsidRPr="00E906EC">
              <w:rPr>
                <w:rFonts w:ascii="Cambria" w:hAnsi="Cambria"/>
                <w:sz w:val="20"/>
                <w:szCs w:val="20"/>
              </w:rPr>
              <w:t>por tonelada de carbono equivalente (C02eq). Los valores de la tarifa por unidad de combustible serán los siguientes:</w:t>
            </w:r>
          </w:p>
          <w:p w:rsidR="00E906EC" w:rsidRDefault="00E906EC"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Pr="00E906EC" w:rsidRDefault="002003F0" w:rsidP="00E906EC">
            <w:pPr>
              <w:jc w:val="both"/>
              <w:rPr>
                <w:rFonts w:ascii="Cambria" w:hAnsi="Cambria"/>
                <w:sz w:val="20"/>
                <w:szCs w:val="20"/>
              </w:rPr>
            </w:pPr>
          </w:p>
          <w:p w:rsidR="00E906EC" w:rsidRDefault="00E906EC" w:rsidP="00E906EC">
            <w:pPr>
              <w:jc w:val="both"/>
              <w:rPr>
                <w:rFonts w:ascii="Cambria" w:hAnsi="Cambria"/>
                <w:sz w:val="20"/>
                <w:szCs w:val="20"/>
              </w:rPr>
            </w:pPr>
          </w:p>
          <w:p w:rsidR="002003F0" w:rsidRDefault="002003F0" w:rsidP="00E906EC">
            <w:pPr>
              <w:jc w:val="both"/>
              <w:rPr>
                <w:rFonts w:ascii="Cambria" w:hAnsi="Cambria"/>
                <w:sz w:val="20"/>
                <w:szCs w:val="20"/>
              </w:rPr>
            </w:pPr>
          </w:p>
          <w:p w:rsidR="002003F0" w:rsidRPr="00E906EC" w:rsidRDefault="002003F0" w:rsidP="00E906EC">
            <w:pPr>
              <w:jc w:val="both"/>
              <w:rPr>
                <w:rFonts w:ascii="Cambria" w:hAnsi="Cambria"/>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45"/>
              <w:gridCol w:w="1411"/>
              <w:gridCol w:w="1426"/>
            </w:tblGrid>
            <w:tr w:rsidR="00E906EC"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Combustible fósil</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Unidad</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Tarifa/unidad</w:t>
                  </w:r>
                </w:p>
              </w:tc>
            </w:tr>
            <w:tr w:rsidR="00E906EC"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906EC" w:rsidRPr="00E906EC" w:rsidRDefault="00E62175" w:rsidP="00E906EC">
                  <w:pPr>
                    <w:jc w:val="both"/>
                    <w:rPr>
                      <w:rFonts w:ascii="Cambria" w:hAnsi="Cambria"/>
                      <w:sz w:val="20"/>
                      <w:szCs w:val="20"/>
                    </w:rPr>
                  </w:pPr>
                  <w:r>
                    <w:rPr>
                      <w:rFonts w:ascii="Cambria" w:hAnsi="Cambria"/>
                      <w:sz w:val="20"/>
                      <w:szCs w:val="20"/>
                    </w:rPr>
                    <w:t>Gas natural</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62175" w:rsidP="00E906EC">
                  <w:pPr>
                    <w:jc w:val="both"/>
                    <w:rPr>
                      <w:rFonts w:ascii="Cambria" w:hAnsi="Cambria"/>
                      <w:sz w:val="20"/>
                      <w:szCs w:val="20"/>
                    </w:rPr>
                  </w:pPr>
                  <w:r>
                    <w:rPr>
                      <w:rFonts w:ascii="Cambria" w:hAnsi="Cambria"/>
                      <w:sz w:val="20"/>
                      <w:szCs w:val="20"/>
                    </w:rPr>
                    <w:t>Metro cúbico</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 xml:space="preserve">$ </w:t>
                  </w:r>
                  <w:r w:rsidRPr="00E62175">
                    <w:rPr>
                      <w:rFonts w:ascii="Cambria" w:hAnsi="Cambria"/>
                      <w:sz w:val="20"/>
                      <w:szCs w:val="20"/>
                      <w:highlight w:val="yellow"/>
                    </w:rPr>
                    <w:t>83</w:t>
                  </w:r>
                </w:p>
              </w:tc>
            </w:tr>
            <w:tr w:rsidR="00E906EC"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906EC" w:rsidRPr="00E906EC" w:rsidRDefault="00E62175" w:rsidP="00E906EC">
                  <w:pPr>
                    <w:jc w:val="both"/>
                    <w:rPr>
                      <w:rFonts w:ascii="Cambria" w:hAnsi="Cambria"/>
                      <w:sz w:val="20"/>
                      <w:szCs w:val="20"/>
                    </w:rPr>
                  </w:pPr>
                  <w:r>
                    <w:rPr>
                      <w:rFonts w:ascii="Cambria" w:hAnsi="Cambria"/>
                      <w:sz w:val="20"/>
                      <w:szCs w:val="20"/>
                    </w:rPr>
                    <w:t>Gas licuado de petróleo</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270</w:t>
                  </w:r>
                </w:p>
              </w:tc>
            </w:tr>
            <w:tr w:rsidR="00E906EC"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906EC" w:rsidRPr="00E906EC" w:rsidRDefault="00E62175" w:rsidP="00E906EC">
                  <w:pPr>
                    <w:jc w:val="both"/>
                    <w:rPr>
                      <w:rFonts w:ascii="Cambria" w:hAnsi="Cambria"/>
                      <w:sz w:val="20"/>
                      <w:szCs w:val="20"/>
                    </w:rPr>
                  </w:pPr>
                  <w:r>
                    <w:rPr>
                      <w:rFonts w:ascii="Cambria" w:hAnsi="Cambria"/>
                      <w:sz w:val="20"/>
                      <w:szCs w:val="20"/>
                    </w:rPr>
                    <w:t>Gasolina</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hideMark/>
                </w:tcPr>
                <w:p w:rsidR="00E906EC" w:rsidRPr="00E906EC" w:rsidRDefault="00E906EC" w:rsidP="00E906EC">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384</w:t>
                  </w:r>
                </w:p>
              </w:tc>
            </w:tr>
            <w:tr w:rsidR="00E62175"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tcPr>
                <w:p w:rsidR="00E62175" w:rsidRPr="00E906EC" w:rsidRDefault="00E62175" w:rsidP="00E62175">
                  <w:pPr>
                    <w:jc w:val="both"/>
                    <w:rPr>
                      <w:rFonts w:ascii="Cambria" w:hAnsi="Cambria"/>
                      <w:sz w:val="20"/>
                      <w:szCs w:val="20"/>
                    </w:rPr>
                  </w:pPr>
                  <w:r w:rsidRPr="00E906EC">
                    <w:rPr>
                      <w:rFonts w:ascii="Cambria" w:hAnsi="Cambria"/>
                      <w:sz w:val="20"/>
                      <w:szCs w:val="20"/>
                    </w:rPr>
                    <w:t>Kerosene</w:t>
                  </w:r>
                </w:p>
              </w:tc>
              <w:tc>
                <w:tcPr>
                  <w:tcW w:w="1651" w:type="pct"/>
                  <w:tcBorders>
                    <w:top w:val="single" w:sz="6" w:space="0" w:color="auto"/>
                    <w:left w:val="single" w:sz="6" w:space="0" w:color="auto"/>
                    <w:bottom w:val="single" w:sz="6" w:space="0" w:color="auto"/>
                    <w:right w:val="single" w:sz="6" w:space="0" w:color="auto"/>
                  </w:tcBorders>
                </w:tcPr>
                <w:p w:rsidR="00E62175" w:rsidRPr="00E906EC" w:rsidRDefault="00E62175" w:rsidP="00E62175">
                  <w:pPr>
                    <w:jc w:val="both"/>
                    <w:rPr>
                      <w:rFonts w:ascii="Cambria" w:hAnsi="Cambria"/>
                      <w:sz w:val="20"/>
                      <w:szCs w:val="20"/>
                    </w:rPr>
                  </w:pPr>
                  <w:r w:rsidRPr="00E906EC">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tcPr>
                <w:p w:rsidR="00E62175" w:rsidRPr="00E906EC" w:rsidRDefault="00E62175" w:rsidP="00E62175">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420</w:t>
                  </w:r>
                </w:p>
              </w:tc>
            </w:tr>
            <w:tr w:rsidR="00E62175"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Pr>
                      <w:rFonts w:ascii="Cambria" w:hAnsi="Cambria"/>
                      <w:sz w:val="20"/>
                      <w:szCs w:val="20"/>
                    </w:rPr>
                    <w:t>Jet fuel</w:t>
                  </w:r>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sidRPr="00E906EC">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420</w:t>
                  </w:r>
                </w:p>
              </w:tc>
            </w:tr>
            <w:tr w:rsidR="00E62175"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Pr>
                      <w:rFonts w:ascii="Cambria" w:hAnsi="Cambria"/>
                      <w:sz w:val="20"/>
                      <w:szCs w:val="20"/>
                    </w:rPr>
                    <w:t>ACPM</w:t>
                  </w:r>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sidRPr="00E906EC">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432</w:t>
                  </w:r>
                </w:p>
              </w:tc>
            </w:tr>
            <w:tr w:rsidR="00E62175"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Pr>
                      <w:rFonts w:ascii="Cambria" w:hAnsi="Cambria"/>
                      <w:sz w:val="20"/>
                      <w:szCs w:val="20"/>
                    </w:rPr>
                    <w:t xml:space="preserve">Fuel </w:t>
                  </w:r>
                  <w:proofErr w:type="spellStart"/>
                  <w:r>
                    <w:rPr>
                      <w:rFonts w:ascii="Cambria" w:hAnsi="Cambria"/>
                      <w:sz w:val="20"/>
                      <w:szCs w:val="20"/>
                    </w:rPr>
                    <w:t>oil</w:t>
                  </w:r>
                  <w:proofErr w:type="spellEnd"/>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Pr>
                      <w:rFonts w:ascii="Cambria" w:hAnsi="Cambria"/>
                      <w:sz w:val="20"/>
                      <w:szCs w:val="20"/>
                    </w:rPr>
                    <w:t>Galón</w:t>
                  </w:r>
                </w:p>
              </w:tc>
              <w:tc>
                <w:tcPr>
                  <w:tcW w:w="1651" w:type="pct"/>
                  <w:tcBorders>
                    <w:top w:val="single" w:sz="6" w:space="0" w:color="auto"/>
                    <w:left w:val="single" w:sz="6" w:space="0" w:color="auto"/>
                    <w:bottom w:val="single" w:sz="6" w:space="0" w:color="auto"/>
                    <w:right w:val="single" w:sz="6" w:space="0" w:color="auto"/>
                  </w:tcBorders>
                  <w:hideMark/>
                </w:tcPr>
                <w:p w:rsidR="00E62175" w:rsidRPr="00E906EC" w:rsidRDefault="00E62175" w:rsidP="00E62175">
                  <w:pPr>
                    <w:jc w:val="both"/>
                    <w:rPr>
                      <w:rFonts w:ascii="Cambria" w:hAnsi="Cambria"/>
                      <w:sz w:val="20"/>
                      <w:szCs w:val="20"/>
                    </w:rPr>
                  </w:pPr>
                  <w:r w:rsidRPr="00E906EC">
                    <w:rPr>
                      <w:rFonts w:ascii="Cambria" w:hAnsi="Cambria"/>
                      <w:sz w:val="20"/>
                      <w:szCs w:val="20"/>
                    </w:rPr>
                    <w:t>$</w:t>
                  </w:r>
                  <w:r w:rsidRPr="00E62175">
                    <w:rPr>
                      <w:rFonts w:ascii="Cambria" w:hAnsi="Cambria"/>
                      <w:sz w:val="20"/>
                      <w:szCs w:val="20"/>
                      <w:highlight w:val="yellow"/>
                    </w:rPr>
                    <w:t>503</w:t>
                  </w:r>
                </w:p>
              </w:tc>
            </w:tr>
            <w:tr w:rsidR="00E906EC" w:rsidRPr="00E906EC" w:rsidTr="00E62175">
              <w:trPr>
                <w:tblCellSpacing w:w="15" w:type="dxa"/>
              </w:trPr>
              <w:tc>
                <w:tcPr>
                  <w:tcW w:w="1554" w:type="pct"/>
                  <w:tcBorders>
                    <w:top w:val="single" w:sz="6" w:space="0" w:color="auto"/>
                    <w:left w:val="single" w:sz="6" w:space="0" w:color="auto"/>
                    <w:bottom w:val="single" w:sz="6" w:space="0" w:color="auto"/>
                    <w:right w:val="single" w:sz="6" w:space="0" w:color="auto"/>
                  </w:tcBorders>
                </w:tcPr>
                <w:p w:rsidR="00E62175" w:rsidRPr="00E906EC" w:rsidRDefault="00E62175" w:rsidP="00E906EC">
                  <w:pPr>
                    <w:jc w:val="both"/>
                    <w:rPr>
                      <w:rFonts w:ascii="Cambria" w:hAnsi="Cambria"/>
                      <w:sz w:val="20"/>
                      <w:szCs w:val="20"/>
                    </w:rPr>
                  </w:pPr>
                  <w:r>
                    <w:rPr>
                      <w:rFonts w:ascii="Cambria" w:hAnsi="Cambria"/>
                      <w:sz w:val="20"/>
                      <w:szCs w:val="20"/>
                    </w:rPr>
                    <w:t xml:space="preserve">Carbón </w:t>
                  </w:r>
                  <w:r w:rsidRPr="00E62175">
                    <w:rPr>
                      <w:rFonts w:ascii="Cambria" w:hAnsi="Cambria"/>
                      <w:sz w:val="20"/>
                      <w:szCs w:val="20"/>
                      <w:highlight w:val="yellow"/>
                    </w:rPr>
                    <w:t>térmico</w:t>
                  </w:r>
                </w:p>
              </w:tc>
              <w:tc>
                <w:tcPr>
                  <w:tcW w:w="1651" w:type="pct"/>
                  <w:tcBorders>
                    <w:top w:val="single" w:sz="6" w:space="0" w:color="auto"/>
                    <w:left w:val="single" w:sz="6" w:space="0" w:color="auto"/>
                    <w:bottom w:val="single" w:sz="6" w:space="0" w:color="auto"/>
                    <w:right w:val="single" w:sz="6" w:space="0" w:color="auto"/>
                  </w:tcBorders>
                </w:tcPr>
                <w:p w:rsidR="00E906EC" w:rsidRPr="00E906EC" w:rsidRDefault="00E62175" w:rsidP="00E906EC">
                  <w:pPr>
                    <w:jc w:val="both"/>
                    <w:rPr>
                      <w:rFonts w:ascii="Cambria" w:hAnsi="Cambria"/>
                      <w:sz w:val="20"/>
                      <w:szCs w:val="20"/>
                    </w:rPr>
                  </w:pPr>
                  <w:r w:rsidRPr="00E62175">
                    <w:rPr>
                      <w:rFonts w:ascii="Cambria" w:hAnsi="Cambria"/>
                      <w:sz w:val="20"/>
                      <w:szCs w:val="20"/>
                      <w:highlight w:val="yellow"/>
                    </w:rPr>
                    <w:t>Tonelada</w:t>
                  </w:r>
                </w:p>
              </w:tc>
              <w:tc>
                <w:tcPr>
                  <w:tcW w:w="1651" w:type="pct"/>
                  <w:tcBorders>
                    <w:top w:val="single" w:sz="6" w:space="0" w:color="auto"/>
                    <w:left w:val="single" w:sz="6" w:space="0" w:color="auto"/>
                    <w:bottom w:val="single" w:sz="6" w:space="0" w:color="auto"/>
                    <w:right w:val="single" w:sz="6" w:space="0" w:color="auto"/>
                  </w:tcBorders>
                </w:tcPr>
                <w:p w:rsidR="00E906EC" w:rsidRPr="00E906EC" w:rsidRDefault="00E62175" w:rsidP="00E906EC">
                  <w:pPr>
                    <w:jc w:val="both"/>
                    <w:rPr>
                      <w:rFonts w:ascii="Cambria" w:hAnsi="Cambria"/>
                      <w:sz w:val="20"/>
                      <w:szCs w:val="20"/>
                    </w:rPr>
                  </w:pPr>
                  <w:r w:rsidRPr="00E62175">
                    <w:rPr>
                      <w:rFonts w:ascii="Cambria" w:hAnsi="Cambria"/>
                      <w:sz w:val="20"/>
                      <w:szCs w:val="20"/>
                      <w:highlight w:val="yellow"/>
                    </w:rPr>
                    <w:t>109.285</w:t>
                  </w:r>
                </w:p>
              </w:tc>
            </w:tr>
          </w:tbl>
          <w:p w:rsidR="00E906EC" w:rsidRDefault="00E906EC"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 xml:space="preserve">Corresponde a la U.A.E. Dirección de Impuestos y Aduanas Nacionales (DIAN) el recaudo y la administración del impuesto nacional al carbono, para lo cual tendrá las facultades consagradas en el Estatuto Tributario para la investigación, determinación, control, discusión, devolución y cobro de los impuestos de su competencia, y para la aplicación de las sanciones contempladas en el </w:t>
            </w:r>
            <w:r w:rsidRPr="00E906EC">
              <w:rPr>
                <w:rFonts w:ascii="Cambria" w:hAnsi="Cambria"/>
                <w:sz w:val="20"/>
                <w:szCs w:val="20"/>
              </w:rPr>
              <w:lastRenderedPageBreak/>
              <w:t>mismo y que sean compatibles con la naturaleza del impuesto. Así mismo aplicará el procedimiento establecido en el Estatuto Tributario.</w:t>
            </w:r>
          </w:p>
          <w:p w:rsidR="00E906EC" w:rsidRPr="00E906EC" w:rsidRDefault="00E906EC"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El impuesto se declarará y pagará bimestralmente, en la forma y plazos que establezca el Gobierno nacional.</w:t>
            </w:r>
          </w:p>
          <w:p w:rsidR="00E906EC" w:rsidRPr="00E906EC" w:rsidRDefault="00E906EC" w:rsidP="00E906EC">
            <w:pPr>
              <w:jc w:val="both"/>
              <w:rPr>
                <w:rFonts w:ascii="Cambria" w:hAnsi="Cambria"/>
                <w:sz w:val="20"/>
                <w:szCs w:val="20"/>
              </w:rPr>
            </w:pPr>
          </w:p>
          <w:p w:rsidR="00E906EC" w:rsidRPr="00E906EC" w:rsidRDefault="00E906EC" w:rsidP="00E906EC">
            <w:pPr>
              <w:jc w:val="both"/>
              <w:rPr>
                <w:rFonts w:ascii="Cambria" w:hAnsi="Cambria"/>
                <w:sz w:val="20"/>
                <w:szCs w:val="20"/>
              </w:rPr>
            </w:pPr>
            <w:r w:rsidRPr="00E906EC">
              <w:rPr>
                <w:rFonts w:ascii="Cambria" w:hAnsi="Cambria"/>
                <w:sz w:val="20"/>
                <w:szCs w:val="20"/>
              </w:rPr>
              <w:t>Los términos, condiciones y contenido de la declaración serán definidos por la U.A.E. Dirección de Impuestos y Aduanas Nacionales (DIAN).</w:t>
            </w:r>
          </w:p>
          <w:p w:rsidR="00E906EC" w:rsidRP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1o. </w:t>
            </w:r>
            <w:r w:rsidRPr="00E906EC">
              <w:rPr>
                <w:rFonts w:ascii="Cambria" w:hAnsi="Cambria"/>
                <w:sz w:val="20"/>
                <w:szCs w:val="20"/>
              </w:rPr>
              <w:t xml:space="preserve">La tarifa por tonelada de carbono equivalente (C02eq) se ajustará cada primero (1) de febrero con la variación en el Índice de Precios al Consumidor calculada por el Departamento Administrativo Nacional de Estadística (DANE) del año anterior más </w:t>
            </w:r>
            <w:r w:rsidR="00E62175" w:rsidRPr="00E62175">
              <w:rPr>
                <w:rFonts w:ascii="Cambria" w:hAnsi="Cambria"/>
                <w:sz w:val="20"/>
                <w:szCs w:val="20"/>
                <w:highlight w:val="yellow"/>
              </w:rPr>
              <w:t>dos</w:t>
            </w:r>
            <w:r w:rsidRPr="00E62175">
              <w:rPr>
                <w:rFonts w:ascii="Cambria" w:hAnsi="Cambria"/>
                <w:sz w:val="20"/>
                <w:szCs w:val="20"/>
                <w:highlight w:val="yellow"/>
              </w:rPr>
              <w:t xml:space="preserve"> (</w:t>
            </w:r>
            <w:r w:rsidR="00E62175" w:rsidRPr="00E62175">
              <w:rPr>
                <w:rFonts w:ascii="Cambria" w:hAnsi="Cambria"/>
                <w:sz w:val="20"/>
                <w:szCs w:val="20"/>
                <w:highlight w:val="yellow"/>
              </w:rPr>
              <w:t>2</w:t>
            </w:r>
            <w:r w:rsidRPr="00E62175">
              <w:rPr>
                <w:rFonts w:ascii="Cambria" w:hAnsi="Cambria"/>
                <w:sz w:val="20"/>
                <w:szCs w:val="20"/>
                <w:highlight w:val="yellow"/>
              </w:rPr>
              <w:t>)</w:t>
            </w:r>
            <w:r w:rsidRPr="00E906EC">
              <w:rPr>
                <w:rFonts w:ascii="Cambria" w:hAnsi="Cambria"/>
                <w:sz w:val="20"/>
                <w:szCs w:val="20"/>
              </w:rPr>
              <w:t xml:space="preserve"> punto</w:t>
            </w:r>
            <w:r w:rsidR="00E62175">
              <w:rPr>
                <w:rFonts w:ascii="Cambria" w:hAnsi="Cambria"/>
                <w:sz w:val="20"/>
                <w:szCs w:val="20"/>
              </w:rPr>
              <w:t xml:space="preserve">s </w:t>
            </w:r>
            <w:r w:rsidR="00E62175" w:rsidRPr="00E62175">
              <w:rPr>
                <w:rFonts w:ascii="Cambria" w:hAnsi="Cambria"/>
                <w:sz w:val="20"/>
                <w:szCs w:val="20"/>
                <w:highlight w:val="yellow"/>
              </w:rPr>
              <w:t>porcentuales</w:t>
            </w:r>
            <w:r w:rsidRPr="00E906EC">
              <w:rPr>
                <w:rFonts w:ascii="Cambria" w:hAnsi="Cambria"/>
                <w:sz w:val="20"/>
                <w:szCs w:val="20"/>
              </w:rPr>
              <w:t xml:space="preserve"> hasta que sea equivalente a tres (3) UVT por tonelada de carbono equivalente (C02eq).</w:t>
            </w:r>
            <w:r w:rsidR="00E62175">
              <w:rPr>
                <w:rFonts w:ascii="Cambria" w:hAnsi="Cambria"/>
                <w:sz w:val="20"/>
                <w:szCs w:val="20"/>
              </w:rPr>
              <w:t xml:space="preserve"> </w:t>
            </w:r>
            <w:r w:rsidR="00E62175" w:rsidRPr="00E62175">
              <w:rPr>
                <w:rFonts w:ascii="Cambria" w:hAnsi="Cambria"/>
                <w:sz w:val="20"/>
                <w:szCs w:val="20"/>
                <w:highlight w:val="yellow"/>
              </w:rPr>
              <w:t>La Unidad Administrativa Especial Dirección de Impuestos y Aduanas Nacionales -DIAN publicará la actualización de tarifas correspondiente</w:t>
            </w:r>
          </w:p>
          <w:p w:rsidR="00E906EC" w:rsidRDefault="00E906EC" w:rsidP="00E906EC">
            <w:pPr>
              <w:jc w:val="both"/>
              <w:rPr>
                <w:rStyle w:val="baj"/>
                <w:rFonts w:ascii="Cambria" w:hAnsi="Cambria" w:cs="Open Sans"/>
                <w:b/>
                <w:bCs/>
                <w:color w:val="000000"/>
                <w:sz w:val="20"/>
                <w:szCs w:val="20"/>
              </w:rPr>
            </w:pPr>
          </w:p>
          <w:p w:rsidR="00E62175" w:rsidRDefault="00E62175" w:rsidP="00E906EC">
            <w:pPr>
              <w:jc w:val="both"/>
              <w:rPr>
                <w:rStyle w:val="baj"/>
                <w:rFonts w:cs="Open Sans"/>
                <w:b/>
                <w:bCs/>
                <w:color w:val="000000"/>
              </w:rPr>
            </w:pPr>
          </w:p>
          <w:p w:rsidR="00E62175" w:rsidRDefault="00E62175" w:rsidP="00E906EC">
            <w:pPr>
              <w:jc w:val="both"/>
              <w:rPr>
                <w:rStyle w:val="baj"/>
                <w:rFonts w:cs="Open Sans"/>
                <w:b/>
                <w:bCs/>
                <w:color w:val="000000"/>
              </w:rPr>
            </w:pPr>
          </w:p>
          <w:p w:rsidR="00E62175" w:rsidRDefault="00E62175" w:rsidP="00E906EC">
            <w:pPr>
              <w:jc w:val="both"/>
              <w:rPr>
                <w:rStyle w:val="baj"/>
                <w:rFonts w:cs="Open Sans"/>
                <w:b/>
                <w:bCs/>
                <w:color w:val="00000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2o.</w:t>
            </w:r>
            <w:r w:rsidRPr="00E906EC">
              <w:rPr>
                <w:rFonts w:ascii="Cambria" w:hAnsi="Cambria"/>
                <w:sz w:val="20"/>
                <w:szCs w:val="20"/>
              </w:rPr>
              <w:t> El impuesto nacional al carbono será deducible del impuesto sobre la renta, en los términos del Artículo </w:t>
            </w:r>
            <w:hyperlink r:id="rId113" w:anchor="107" w:history="1">
              <w:r w:rsidRPr="00E906EC">
                <w:rPr>
                  <w:rStyle w:val="Hipervnculo"/>
                  <w:rFonts w:ascii="Cambria" w:hAnsi="Cambria" w:cs="Open Sans"/>
                  <w:color w:val="0073FF"/>
                  <w:sz w:val="20"/>
                  <w:szCs w:val="20"/>
                </w:rPr>
                <w:t>107</w:t>
              </w:r>
            </w:hyperlink>
            <w:r w:rsidRPr="00E906EC">
              <w:rPr>
                <w:rFonts w:ascii="Cambria" w:hAnsi="Cambria"/>
                <w:sz w:val="20"/>
                <w:szCs w:val="20"/>
              </w:rPr>
              <w:t> del Estatuto Tributario.</w:t>
            </w:r>
          </w:p>
          <w:p w:rsidR="00E906EC" w:rsidRP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3o.</w:t>
            </w:r>
            <w:r w:rsidRPr="00E906EC">
              <w:rPr>
                <w:rFonts w:ascii="Cambria" w:hAnsi="Cambria"/>
                <w:sz w:val="20"/>
                <w:szCs w:val="20"/>
              </w:rPr>
              <w:t> El alcohol carburante con destino a la mezcla con gasolina para los vehículos automotores y el biocombustible de origen vegetal, animal o producido a partir de residuos sólidos urbanos de producción nacional con destino a la mezcla con ACPM para uso en motores diésel, no están sujetos al impuesto nacional al carbono.</w:t>
            </w:r>
          </w:p>
          <w:p w:rsid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4o.</w:t>
            </w:r>
            <w:r w:rsidRPr="00E906EC">
              <w:rPr>
                <w:rFonts w:ascii="Cambria" w:hAnsi="Cambria"/>
                <w:sz w:val="20"/>
                <w:szCs w:val="20"/>
              </w:rPr>
              <w:t> Los combustibles a los que se refiere este Artículo no causarán el impuesto cuando sean exportados por el productor del combustible fósil y, en el caso del carbón por quien lo exporte.</w:t>
            </w:r>
          </w:p>
          <w:p w:rsid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5o.</w:t>
            </w:r>
            <w:r w:rsidRPr="00E906EC">
              <w:rPr>
                <w:rFonts w:ascii="Cambria" w:hAnsi="Cambria"/>
                <w:sz w:val="20"/>
                <w:szCs w:val="20"/>
              </w:rPr>
              <w:t xml:space="preserve"> La venta de diésel marino y combustibles utilizados para reaprovisionamiento de los buques en tráfico internacional es considerada como una exportación. En consecuencia, el </w:t>
            </w:r>
            <w:r w:rsidRPr="00E906EC">
              <w:rPr>
                <w:rFonts w:ascii="Cambria" w:hAnsi="Cambria"/>
                <w:sz w:val="20"/>
                <w:szCs w:val="20"/>
              </w:rPr>
              <w:lastRenderedPageBreak/>
              <w:t>reaprovisionamiento de combustibles de estos buques no será objeto de cobro del impuesto nacional al carbono. Para lo anterior; los distribuidores mayoristas deberán certificar al responsable del impuesto nacional al carbono, a más tardar el quinto (5) día hábil del mes siguiente en el que se realizó la venta del combustible por parte del productor al distribuidor mayorista y/o comercializador, para que el productor realice el reintegro del impuesto nacional al carbono al distribuidor.</w:t>
            </w:r>
          </w:p>
          <w:p w:rsidR="00E906EC" w:rsidRDefault="00E906EC" w:rsidP="00E906EC">
            <w:pPr>
              <w:jc w:val="both"/>
              <w:rPr>
                <w:rStyle w:val="baj"/>
                <w:rFonts w:ascii="Cambria" w:hAnsi="Cambria" w:cs="Open Sans"/>
                <w:b/>
                <w:bCs/>
                <w:color w:val="000000"/>
                <w:sz w:val="20"/>
                <w:szCs w:val="20"/>
              </w:rPr>
            </w:pPr>
          </w:p>
          <w:p w:rsidR="00E906EC" w:rsidRP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6o.</w:t>
            </w:r>
            <w:r w:rsidRPr="00E906EC">
              <w:rPr>
                <w:rFonts w:ascii="Cambria" w:hAnsi="Cambria"/>
                <w:sz w:val="20"/>
                <w:szCs w:val="20"/>
              </w:rPr>
              <w:t> En el caso del carbón la tarifa del impuesto se aplicará bajo la siguiente gradualidad:</w:t>
            </w:r>
          </w:p>
          <w:p w:rsidR="00E906EC" w:rsidRDefault="00E906EC" w:rsidP="00E906EC">
            <w:pPr>
              <w:jc w:val="both"/>
            </w:pPr>
          </w:p>
          <w:p w:rsidR="00D51D7B" w:rsidRPr="00D51D7B" w:rsidRDefault="00D51D7B" w:rsidP="00D51D7B">
            <w:pPr>
              <w:pStyle w:val="Default"/>
              <w:rPr>
                <w:rFonts w:ascii="Cambria" w:hAnsi="Cambria"/>
                <w:sz w:val="20"/>
                <w:szCs w:val="20"/>
                <w:highlight w:val="yellow"/>
              </w:rPr>
            </w:pPr>
            <w:r w:rsidRPr="00D51D7B">
              <w:rPr>
                <w:rFonts w:ascii="Cambria" w:hAnsi="Cambria"/>
                <w:sz w:val="20"/>
                <w:szCs w:val="20"/>
              </w:rPr>
              <w:t>1</w:t>
            </w:r>
            <w:r w:rsidRPr="00D51D7B">
              <w:rPr>
                <w:rFonts w:ascii="Cambria" w:hAnsi="Cambria"/>
                <w:sz w:val="20"/>
                <w:szCs w:val="20"/>
                <w:highlight w:val="yellow"/>
              </w:rPr>
              <w:t xml:space="preserve">. Para el año 2026: el cuarenta por ciento (40%) del valor de la tarifa plena. </w:t>
            </w:r>
          </w:p>
          <w:p w:rsidR="00D51D7B" w:rsidRPr="00D51D7B" w:rsidRDefault="00D51D7B" w:rsidP="00D51D7B">
            <w:pPr>
              <w:pStyle w:val="Default"/>
              <w:rPr>
                <w:rFonts w:ascii="Cambria" w:hAnsi="Cambria"/>
                <w:sz w:val="20"/>
                <w:szCs w:val="20"/>
                <w:highlight w:val="yellow"/>
              </w:rPr>
            </w:pPr>
            <w:r w:rsidRPr="00D51D7B">
              <w:rPr>
                <w:rFonts w:ascii="Cambria" w:hAnsi="Cambria"/>
                <w:sz w:val="20"/>
                <w:szCs w:val="20"/>
                <w:highlight w:val="yellow"/>
              </w:rPr>
              <w:t xml:space="preserve">2. Para el año 2027: el sesenta por ciento (60%) del valor de la tarifa plena. </w:t>
            </w:r>
          </w:p>
          <w:p w:rsidR="00D51D7B" w:rsidRPr="00D51D7B" w:rsidRDefault="00D51D7B" w:rsidP="00D51D7B">
            <w:pPr>
              <w:pStyle w:val="Default"/>
              <w:rPr>
                <w:rFonts w:ascii="Cambria" w:hAnsi="Cambria"/>
                <w:sz w:val="20"/>
                <w:szCs w:val="20"/>
                <w:highlight w:val="yellow"/>
              </w:rPr>
            </w:pPr>
            <w:r w:rsidRPr="00D51D7B">
              <w:rPr>
                <w:rFonts w:ascii="Cambria" w:hAnsi="Cambria"/>
                <w:sz w:val="20"/>
                <w:szCs w:val="20"/>
                <w:highlight w:val="yellow"/>
              </w:rPr>
              <w:t xml:space="preserve">3. Para el año 2028: el ochenta por ciento (80%) del valor de la tarifa plena. </w:t>
            </w:r>
          </w:p>
          <w:p w:rsidR="00D51D7B" w:rsidRPr="00D51D7B" w:rsidRDefault="00D51D7B" w:rsidP="00D51D7B">
            <w:pPr>
              <w:jc w:val="both"/>
              <w:rPr>
                <w:rStyle w:val="baj"/>
                <w:rFonts w:ascii="Cambria" w:hAnsi="Cambria" w:cs="Open Sans"/>
                <w:b/>
                <w:bCs/>
                <w:color w:val="000000"/>
                <w:sz w:val="20"/>
                <w:szCs w:val="20"/>
              </w:rPr>
            </w:pPr>
            <w:r w:rsidRPr="00D51D7B">
              <w:rPr>
                <w:rFonts w:ascii="Cambria" w:hAnsi="Cambria"/>
                <w:sz w:val="20"/>
                <w:szCs w:val="20"/>
                <w:highlight w:val="yellow"/>
              </w:rPr>
              <w:t>4. Para el año 2029 y siguientes: tarifa plena.</w:t>
            </w:r>
            <w:r w:rsidRPr="00D51D7B">
              <w:rPr>
                <w:rFonts w:ascii="Cambria" w:hAnsi="Cambria"/>
                <w:sz w:val="20"/>
                <w:szCs w:val="20"/>
              </w:rPr>
              <w:t xml:space="preserve"> </w:t>
            </w:r>
          </w:p>
          <w:p w:rsidR="00D51D7B" w:rsidRDefault="00D51D7B" w:rsidP="00E906EC">
            <w:pPr>
              <w:jc w:val="both"/>
              <w:rPr>
                <w:rStyle w:val="baj"/>
                <w:rFonts w:ascii="Cambria" w:hAnsi="Cambria" w:cs="Open Sans"/>
                <w:b/>
                <w:bCs/>
                <w:color w:val="000000"/>
                <w:sz w:val="20"/>
                <w:szCs w:val="20"/>
              </w:rPr>
            </w:pPr>
          </w:p>
          <w:p w:rsidR="00D51D7B" w:rsidRDefault="00D51D7B" w:rsidP="00E906EC">
            <w:pPr>
              <w:jc w:val="both"/>
              <w:rPr>
                <w:rStyle w:val="baj"/>
                <w:rFonts w:cs="Open Sans"/>
                <w:b/>
                <w:bCs/>
                <w:color w:val="000000"/>
              </w:rPr>
            </w:pPr>
          </w:p>
          <w:p w:rsidR="00D51D7B" w:rsidRDefault="00D51D7B" w:rsidP="00E906EC">
            <w:pPr>
              <w:jc w:val="both"/>
              <w:rPr>
                <w:rStyle w:val="baj"/>
                <w:rFonts w:ascii="Cambria" w:hAnsi="Cambria" w:cs="Open Sans"/>
                <w:b/>
                <w:bCs/>
                <w:color w:val="000000"/>
                <w:sz w:val="20"/>
                <w:szCs w:val="20"/>
              </w:rPr>
            </w:pPr>
          </w:p>
          <w:p w:rsidR="00E906EC" w:rsidRDefault="00E906EC" w:rsidP="00E906EC">
            <w:pPr>
              <w:jc w:val="both"/>
              <w:rPr>
                <w:rFonts w:ascii="Cambria" w:hAnsi="Cambria"/>
                <w:sz w:val="20"/>
                <w:szCs w:val="20"/>
              </w:rPr>
            </w:pPr>
            <w:r w:rsidRPr="00E906EC">
              <w:rPr>
                <w:rStyle w:val="baj"/>
                <w:rFonts w:ascii="Cambria" w:hAnsi="Cambria" w:cs="Open Sans"/>
                <w:b/>
                <w:bCs/>
                <w:color w:val="000000"/>
                <w:sz w:val="20"/>
                <w:szCs w:val="20"/>
              </w:rPr>
              <w:t>PARÁGRAFO 7o.</w:t>
            </w:r>
            <w:r w:rsidRPr="00E906EC">
              <w:rPr>
                <w:rFonts w:ascii="Cambria" w:hAnsi="Cambria"/>
                <w:sz w:val="20"/>
                <w:szCs w:val="20"/>
              </w:rPr>
              <w:t xml:space="preserve"> La tarifa del Impuesto al Carbono por unidad de combustible de la que trata este Artículo, en Amazonas, Caquetá, Guainía, Vichada, Guaviare, Putumayo, Vaupés y los municipios de </w:t>
            </w:r>
            <w:proofErr w:type="spellStart"/>
            <w:r w:rsidRPr="00E906EC">
              <w:rPr>
                <w:rFonts w:ascii="Cambria" w:hAnsi="Cambria"/>
                <w:sz w:val="20"/>
                <w:szCs w:val="20"/>
              </w:rPr>
              <w:t>Sipí</w:t>
            </w:r>
            <w:proofErr w:type="spellEnd"/>
            <w:r w:rsidRPr="00E906EC">
              <w:rPr>
                <w:rFonts w:ascii="Cambria" w:hAnsi="Cambria"/>
                <w:sz w:val="20"/>
                <w:szCs w:val="20"/>
              </w:rPr>
              <w:t xml:space="preserve">, Riosucio, Alto Baudó, Bajo Baudó, Acandí, </w:t>
            </w:r>
            <w:proofErr w:type="spellStart"/>
            <w:r w:rsidRPr="00E906EC">
              <w:rPr>
                <w:rFonts w:ascii="Cambria" w:hAnsi="Cambria"/>
                <w:sz w:val="20"/>
                <w:szCs w:val="20"/>
              </w:rPr>
              <w:t>Unguía</w:t>
            </w:r>
            <w:proofErr w:type="spellEnd"/>
            <w:r w:rsidRPr="00E906EC">
              <w:rPr>
                <w:rFonts w:ascii="Cambria" w:hAnsi="Cambria"/>
                <w:sz w:val="20"/>
                <w:szCs w:val="20"/>
              </w:rPr>
              <w:t xml:space="preserve">, Litoral de San Juan, Bojayá, Medio Atrato, Bahía Solano, </w:t>
            </w:r>
            <w:proofErr w:type="spellStart"/>
            <w:r w:rsidRPr="00E906EC">
              <w:rPr>
                <w:rFonts w:ascii="Cambria" w:hAnsi="Cambria"/>
                <w:sz w:val="20"/>
                <w:szCs w:val="20"/>
              </w:rPr>
              <w:t>Juradó</w:t>
            </w:r>
            <w:proofErr w:type="spellEnd"/>
            <w:r w:rsidRPr="00E906EC">
              <w:rPr>
                <w:rFonts w:ascii="Cambria" w:hAnsi="Cambria"/>
                <w:sz w:val="20"/>
                <w:szCs w:val="20"/>
              </w:rPr>
              <w:t xml:space="preserve"> y Carmen del Darién del departamento del Chocó, para la gasolina, ACPM y Jet fuel, será de cero pesos ($0).</w:t>
            </w:r>
          </w:p>
          <w:p w:rsidR="00D51D7B" w:rsidRPr="00E906EC" w:rsidRDefault="00D51D7B" w:rsidP="00E906EC">
            <w:pPr>
              <w:jc w:val="both"/>
              <w:rPr>
                <w:rFonts w:ascii="Cambria" w:hAnsi="Cambria"/>
                <w:sz w:val="20"/>
                <w:szCs w:val="20"/>
              </w:rPr>
            </w:pPr>
          </w:p>
          <w:p w:rsidR="00E906EC" w:rsidRDefault="00E906EC" w:rsidP="00E906EC">
            <w:pPr>
              <w:jc w:val="both"/>
              <w:rPr>
                <w:rFonts w:ascii="Cambria" w:hAnsi="Cambria"/>
                <w:sz w:val="20"/>
                <w:szCs w:val="20"/>
              </w:rPr>
            </w:pPr>
            <w:r w:rsidRPr="00E906EC">
              <w:rPr>
                <w:rFonts w:ascii="Cambria" w:hAnsi="Cambria"/>
                <w:sz w:val="20"/>
                <w:szCs w:val="20"/>
              </w:rPr>
              <w:t>Los municipios y departamentos que desarrollen actividades de explotación de hidrocarburos o refinamiento de combustibles perderán el beneficio de que trata este parágrafo y se les aplicará la tarifa plena del Impuesto Nacional al Carbono.</w:t>
            </w:r>
          </w:p>
          <w:p w:rsidR="00E906EC" w:rsidRDefault="00E906EC" w:rsidP="00E906EC">
            <w:pPr>
              <w:jc w:val="both"/>
              <w:rPr>
                <w:rStyle w:val="baj"/>
                <w:rFonts w:ascii="Cambria" w:hAnsi="Cambria" w:cs="Open Sans"/>
                <w:b/>
                <w:bCs/>
                <w:color w:val="000000"/>
                <w:sz w:val="20"/>
                <w:szCs w:val="20"/>
              </w:rPr>
            </w:pPr>
          </w:p>
          <w:p w:rsidR="00E906EC" w:rsidRPr="00D51D7B" w:rsidRDefault="00D51D7B" w:rsidP="00D51D7B">
            <w:pPr>
              <w:jc w:val="both"/>
              <w:rPr>
                <w:rFonts w:ascii="Cambria" w:hAnsi="Cambria"/>
                <w:sz w:val="20"/>
                <w:szCs w:val="20"/>
              </w:rPr>
            </w:pPr>
            <w:r w:rsidRPr="00D51D7B">
              <w:rPr>
                <w:rFonts w:ascii="Cambria" w:hAnsi="Cambria"/>
                <w:b/>
                <w:bCs/>
                <w:sz w:val="20"/>
                <w:szCs w:val="20"/>
                <w:highlight w:val="yellow"/>
              </w:rPr>
              <w:t xml:space="preserve">Parágrafo 8. </w:t>
            </w:r>
            <w:r w:rsidRPr="00D51D7B">
              <w:rPr>
                <w:rFonts w:ascii="Cambria" w:hAnsi="Cambria"/>
                <w:sz w:val="20"/>
                <w:szCs w:val="20"/>
                <w:highlight w:val="yellow"/>
              </w:rPr>
              <w:t>El gobierno nacional podrá convertir la unidad de medida de galos a litros asegurando la equivalencia en la tarifa.</w:t>
            </w:r>
          </w:p>
        </w:tc>
      </w:tr>
      <w:tr w:rsidR="00E906EC" w:rsidTr="0092734A">
        <w:tc>
          <w:tcPr>
            <w:tcW w:w="4414" w:type="dxa"/>
          </w:tcPr>
          <w:p w:rsidR="00E906EC" w:rsidRPr="008B6968" w:rsidRDefault="008B6968" w:rsidP="008B6968">
            <w:pPr>
              <w:jc w:val="both"/>
              <w:rPr>
                <w:rFonts w:ascii="Cambria" w:hAnsi="Cambria"/>
                <w:sz w:val="20"/>
                <w:szCs w:val="20"/>
              </w:rPr>
            </w:pPr>
            <w:bookmarkStart w:id="66" w:name="223"/>
            <w:r w:rsidRPr="008B6968">
              <w:rPr>
                <w:rFonts w:ascii="Cambria" w:hAnsi="Cambria"/>
                <w:b/>
                <w:bCs/>
                <w:color w:val="000000" w:themeColor="text1"/>
                <w:sz w:val="20"/>
                <w:szCs w:val="20"/>
              </w:rPr>
              <w:lastRenderedPageBreak/>
              <w:t>Artículo 223. Destinación específica del impuesto nacional al carbono.</w:t>
            </w:r>
            <w:bookmarkEnd w:id="66"/>
            <w:r w:rsidR="00E906EC" w:rsidRPr="008B6968">
              <w:rPr>
                <w:rFonts w:ascii="Cambria" w:hAnsi="Cambria"/>
                <w:color w:val="000000" w:themeColor="text1"/>
                <w:sz w:val="20"/>
                <w:szCs w:val="20"/>
              </w:rPr>
              <w:t> </w:t>
            </w:r>
            <w:r w:rsidR="00E906EC" w:rsidRPr="008B6968">
              <w:rPr>
                <w:rFonts w:ascii="Cambria" w:hAnsi="Cambria"/>
                <w:sz w:val="20"/>
                <w:szCs w:val="20"/>
              </w:rPr>
              <w:t xml:space="preserve"> El Gobierno nacional, través del Ministerio de Ambiente y Desarrollo Sostenible, a partir del primero (1) de enero de </w:t>
            </w:r>
            <w:r w:rsidR="00E906EC" w:rsidRPr="002003F0">
              <w:rPr>
                <w:rFonts w:ascii="Cambria" w:hAnsi="Cambria"/>
                <w:sz w:val="20"/>
                <w:szCs w:val="20"/>
                <w:highlight w:val="yellow"/>
              </w:rPr>
              <w:t>2023</w:t>
            </w:r>
            <w:r w:rsidR="00E906EC" w:rsidRPr="008B6968">
              <w:rPr>
                <w:rFonts w:ascii="Cambria" w:hAnsi="Cambria"/>
                <w:sz w:val="20"/>
                <w:szCs w:val="20"/>
              </w:rPr>
              <w:t xml:space="preserve">, destinará el </w:t>
            </w:r>
            <w:r w:rsidR="00E906EC" w:rsidRPr="002003F0">
              <w:rPr>
                <w:rFonts w:ascii="Cambria" w:hAnsi="Cambria"/>
                <w:sz w:val="20"/>
                <w:szCs w:val="20"/>
                <w:highlight w:val="yellow"/>
              </w:rPr>
              <w:t>ochenta</w:t>
            </w:r>
            <w:r w:rsidR="00E906EC" w:rsidRPr="008B6968">
              <w:rPr>
                <w:rFonts w:ascii="Cambria" w:hAnsi="Cambria"/>
                <w:sz w:val="20"/>
                <w:szCs w:val="20"/>
              </w:rPr>
              <w:t xml:space="preserve"> por ciento </w:t>
            </w:r>
            <w:r w:rsidR="00E906EC" w:rsidRPr="002003F0">
              <w:rPr>
                <w:rFonts w:ascii="Cambria" w:hAnsi="Cambria"/>
                <w:sz w:val="20"/>
                <w:szCs w:val="20"/>
                <w:highlight w:val="yellow"/>
              </w:rPr>
              <w:t>(80%)</w:t>
            </w:r>
            <w:r w:rsidR="00E906EC" w:rsidRPr="008B6968">
              <w:rPr>
                <w:rFonts w:ascii="Cambria" w:hAnsi="Cambria"/>
                <w:sz w:val="20"/>
                <w:szCs w:val="20"/>
              </w:rPr>
              <w:t xml:space="preserve"> del recaudo del Impuesto Nacional al Carbono al manejó de la erosión costera; la reducción de la deforestación y su monitoreo, la conservación de fuentes hídricas y humedales; la protección, preservación, restauración y uso sostenible de áreas y ecosistemas estratégicos a través de programas de reforestación, restauración, esquemas de Pago por Servicios Ambientales (PSA), priorizando los municipios PDET donde haya presencia de economías ilícitas, incentivos a la conservación, entre otros instrumentos; la promoción y fomento de la conservación y uso sostenible de· la biodiversidad; el financiamiento de las metas y medidas en materia de acción climática establecidas en la Ley </w:t>
            </w:r>
            <w:r w:rsidR="00E906EC" w:rsidRPr="004C0CB2">
              <w:rPr>
                <w:rFonts w:ascii="Cambria" w:hAnsi="Cambria" w:cs="Open Sans"/>
                <w:sz w:val="20"/>
                <w:szCs w:val="20"/>
              </w:rPr>
              <w:t>2169</w:t>
            </w:r>
            <w:r w:rsidR="00E906EC" w:rsidRPr="008B6968">
              <w:rPr>
                <w:rFonts w:ascii="Cambria" w:hAnsi="Cambria"/>
                <w:sz w:val="20"/>
                <w:szCs w:val="20"/>
              </w:rPr>
              <w:t xml:space="preserve"> de 2021, así como las previstas en la Contribución Determinada a Nivel Nacional de Colombia (NDC) sometida ante la Convención Marco de las Naciones Unidas para el Cambio Climático, o cualquiera que la actualice o sustituya, de conformidad con los lineamientos que establezca el Ministerio de Ambiente y Desarrollo Sostenible. Estos recursos serán administrados a través del Fondo </w:t>
            </w:r>
            <w:r w:rsidR="00E906EC" w:rsidRPr="004C0CB2">
              <w:rPr>
                <w:rFonts w:ascii="Cambria" w:hAnsi="Cambria"/>
                <w:sz w:val="20"/>
                <w:szCs w:val="20"/>
                <w:highlight w:val="yellow"/>
              </w:rPr>
              <w:t>para la Sustentabilidad y la Resiliencia Climática</w:t>
            </w:r>
            <w:r w:rsidR="00E906EC" w:rsidRPr="004C0CB2">
              <w:rPr>
                <w:rFonts w:ascii="Cambria" w:hAnsi="Cambria"/>
                <w:sz w:val="20"/>
                <w:szCs w:val="20"/>
                <w:highlight w:val="yellow"/>
                <w:vertAlign w:val="superscript"/>
              </w:rPr>
              <w:t>&lt;</w:t>
            </w:r>
            <w:hyperlink r:id="rId114" w:anchor="nv1" w:history="1">
              <w:r w:rsidR="00E906EC" w:rsidRPr="008B6968">
                <w:rPr>
                  <w:rStyle w:val="Hipervnculo"/>
                  <w:rFonts w:ascii="Cambria" w:hAnsi="Cambria" w:cs="Open Sans"/>
                  <w:color w:val="0073FF"/>
                  <w:sz w:val="20"/>
                  <w:szCs w:val="20"/>
                  <w:vertAlign w:val="superscript"/>
                </w:rPr>
                <w:t>1</w:t>
              </w:r>
            </w:hyperlink>
            <w:r w:rsidR="00E906EC" w:rsidRPr="008B6968">
              <w:rPr>
                <w:rFonts w:ascii="Cambria" w:hAnsi="Cambria"/>
                <w:sz w:val="20"/>
                <w:szCs w:val="20"/>
                <w:vertAlign w:val="superscript"/>
              </w:rPr>
              <w:t>&gt;</w:t>
            </w:r>
            <w:r w:rsidR="00E906EC" w:rsidRPr="008B6968">
              <w:rPr>
                <w:rFonts w:ascii="Cambria" w:hAnsi="Cambria"/>
                <w:sz w:val="20"/>
                <w:szCs w:val="20"/>
              </w:rPr>
              <w:t>  de que trata el parágrafo 1 del presente artículo.</w:t>
            </w: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E906EC" w:rsidRDefault="00E906EC" w:rsidP="008B6968">
            <w:pPr>
              <w:jc w:val="both"/>
              <w:rPr>
                <w:rFonts w:ascii="Cambria" w:hAnsi="Cambria"/>
                <w:sz w:val="20"/>
                <w:szCs w:val="20"/>
              </w:rPr>
            </w:pPr>
            <w:r w:rsidRPr="004C0CB2">
              <w:rPr>
                <w:rFonts w:ascii="Cambria" w:hAnsi="Cambria"/>
                <w:sz w:val="20"/>
                <w:szCs w:val="20"/>
                <w:highlight w:val="yellow"/>
              </w:rPr>
              <w:t>El veinte por ciento (20%) restante</w:t>
            </w:r>
            <w:r w:rsidRPr="008B6968">
              <w:rPr>
                <w:rFonts w:ascii="Cambria" w:hAnsi="Cambria"/>
                <w:sz w:val="20"/>
                <w:szCs w:val="20"/>
              </w:rPr>
              <w:t xml:space="preserve"> se destinará para la financiación del Programa Nacional Integral de Sustitución de Cultivos de Uso Ilícito (PNIS). Para tal efecto, el Ministerio de Hacienda y Crédito Público transferirá dichos recursos al Fondo Colombia en Paz (FCP) de que trata el artículo </w:t>
            </w:r>
            <w:hyperlink r:id="rId115" w:anchor="1" w:history="1">
              <w:r w:rsidRPr="008B6968">
                <w:rPr>
                  <w:rStyle w:val="Hipervnculo"/>
                  <w:rFonts w:ascii="Cambria" w:hAnsi="Cambria" w:cs="Open Sans"/>
                  <w:color w:val="0073FF"/>
                  <w:sz w:val="20"/>
                  <w:szCs w:val="20"/>
                </w:rPr>
                <w:t>1o</w:t>
              </w:r>
            </w:hyperlink>
            <w:r w:rsidRPr="008B6968">
              <w:rPr>
                <w:rFonts w:ascii="Cambria" w:hAnsi="Cambria"/>
                <w:sz w:val="20"/>
                <w:szCs w:val="20"/>
              </w:rPr>
              <w:t> del Decreto Ley 691 de 2017. Se priorizarán los proyectos que se pretendan implementar en los Municipios de Programas de Desarrollo con Enfoque Territorial (PDET).</w:t>
            </w:r>
          </w:p>
          <w:p w:rsidR="008B6968" w:rsidRDefault="008B6968" w:rsidP="008B6968">
            <w:pPr>
              <w:jc w:val="both"/>
              <w:rPr>
                <w:rFonts w:ascii="Cambria" w:hAnsi="Cambria"/>
                <w:sz w:val="20"/>
                <w:szCs w:val="20"/>
              </w:rPr>
            </w:pP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4C0CB2" w:rsidRDefault="004C0CB2" w:rsidP="008B6968">
            <w:pPr>
              <w:jc w:val="both"/>
              <w:rPr>
                <w:rFonts w:ascii="Cambria" w:hAnsi="Cambria"/>
                <w:sz w:val="20"/>
                <w:szCs w:val="20"/>
              </w:rPr>
            </w:pPr>
          </w:p>
          <w:p w:rsidR="00E906EC" w:rsidRDefault="00E906EC" w:rsidP="008B6968">
            <w:pPr>
              <w:jc w:val="both"/>
              <w:rPr>
                <w:rFonts w:ascii="Cambria" w:hAnsi="Cambria"/>
                <w:sz w:val="20"/>
                <w:szCs w:val="20"/>
              </w:rPr>
            </w:pPr>
            <w:r w:rsidRPr="008B6968">
              <w:rPr>
                <w:rStyle w:val="baj"/>
                <w:rFonts w:ascii="Cambria" w:hAnsi="Cambria" w:cs="Open Sans"/>
                <w:b/>
                <w:bCs/>
                <w:color w:val="000000"/>
                <w:sz w:val="20"/>
                <w:szCs w:val="20"/>
              </w:rPr>
              <w:t>PARÁGRAFO 1o. </w:t>
            </w:r>
            <w:r w:rsidRPr="004C0CB2">
              <w:rPr>
                <w:rFonts w:ascii="Cambria" w:hAnsi="Cambria"/>
                <w:sz w:val="20"/>
                <w:szCs w:val="20"/>
                <w:highlight w:val="yellow"/>
              </w:rPr>
              <w:t>Créase</w:t>
            </w:r>
            <w:r w:rsidRPr="004C0CB2">
              <w:rPr>
                <w:rFonts w:ascii="Cambria" w:hAnsi="Cambria"/>
                <w:sz w:val="20"/>
                <w:szCs w:val="20"/>
              </w:rPr>
              <w:t xml:space="preserve"> el Fondo para la Sustentabilidad y la Resiliencia Climática (</w:t>
            </w:r>
            <w:proofErr w:type="spellStart"/>
            <w:r w:rsidRPr="004C0CB2">
              <w:rPr>
                <w:rFonts w:ascii="Cambria" w:hAnsi="Cambria"/>
                <w:sz w:val="20"/>
                <w:szCs w:val="20"/>
              </w:rPr>
              <w:t>Fonsurec</w:t>
            </w:r>
            <w:proofErr w:type="spellEnd"/>
            <w:r w:rsidRPr="004C0CB2">
              <w:rPr>
                <w:rFonts w:ascii="Cambria" w:hAnsi="Cambria"/>
                <w:sz w:val="20"/>
                <w:szCs w:val="20"/>
              </w:rPr>
              <w:t>)</w:t>
            </w:r>
            <w:r w:rsidRPr="004C0CB2">
              <w:rPr>
                <w:rFonts w:ascii="Cambria" w:hAnsi="Cambria"/>
                <w:sz w:val="20"/>
                <w:szCs w:val="20"/>
                <w:vertAlign w:val="superscript"/>
              </w:rPr>
              <w:t>&lt;</w:t>
            </w:r>
            <w:hyperlink r:id="rId116" w:anchor="nv1" w:history="1">
              <w:r w:rsidRPr="004C0CB2">
                <w:rPr>
                  <w:rStyle w:val="Hipervnculo"/>
                  <w:rFonts w:ascii="Cambria" w:hAnsi="Cambria" w:cs="Open Sans"/>
                  <w:color w:val="0073FF"/>
                  <w:sz w:val="20"/>
                  <w:szCs w:val="20"/>
                  <w:vertAlign w:val="superscript"/>
                </w:rPr>
                <w:t>1</w:t>
              </w:r>
            </w:hyperlink>
            <w:r w:rsidRPr="004C0CB2">
              <w:rPr>
                <w:rFonts w:ascii="Cambria" w:hAnsi="Cambria"/>
                <w:sz w:val="20"/>
                <w:szCs w:val="20"/>
                <w:vertAlign w:val="superscript"/>
              </w:rPr>
              <w:t>&gt;</w:t>
            </w:r>
            <w:r w:rsidRPr="004C0CB2">
              <w:rPr>
                <w:rFonts w:ascii="Cambria" w:hAnsi="Cambria"/>
                <w:sz w:val="20"/>
                <w:szCs w:val="20"/>
              </w:rPr>
              <w:t>  c</w:t>
            </w:r>
            <w:r w:rsidRPr="004C0CB2">
              <w:rPr>
                <w:rFonts w:ascii="Cambria" w:hAnsi="Cambria"/>
                <w:sz w:val="20"/>
                <w:szCs w:val="20"/>
                <w:highlight w:val="yellow"/>
              </w:rPr>
              <w:t>omo un</w:t>
            </w:r>
            <w:r w:rsidRPr="008B6968">
              <w:rPr>
                <w:rFonts w:ascii="Cambria" w:hAnsi="Cambria"/>
                <w:sz w:val="20"/>
                <w:szCs w:val="20"/>
              </w:rPr>
              <w:t xml:space="preserve"> Patrimonio Autónomo, adscrito al Ministerio de Ambiente y Desarrollo Sostenible y sus recursos serán administrados por la sociedad fiduciaria que el Ministerio de Ambiente y Desarrollo Sostenible determine. La selección de la sociedad fiduciaria, su contratación, así como los actos y contratos requeridos para la administración, distribución y ejecución de los recursos se regirá por las normas del derecho privado; observando en todo caso los principios de igualdad, moralidad, eficacia, economía, celeridad, imparcialidad y publicidad. El </w:t>
            </w:r>
            <w:proofErr w:type="spellStart"/>
            <w:r w:rsidRPr="008B6968">
              <w:rPr>
                <w:rFonts w:ascii="Cambria" w:hAnsi="Cambria"/>
                <w:sz w:val="20"/>
                <w:szCs w:val="20"/>
              </w:rPr>
              <w:t>Fonsurec</w:t>
            </w:r>
            <w:proofErr w:type="spellEnd"/>
            <w:r w:rsidRPr="008B6968">
              <w:rPr>
                <w:rFonts w:ascii="Cambria" w:hAnsi="Cambria"/>
                <w:sz w:val="20"/>
                <w:szCs w:val="20"/>
              </w:rPr>
              <w:t xml:space="preserve"> tendrá como mínimo un consejo directivo y un director ejecutivo. El Ministerio de Ambiente y Desarrollo Sostenible reglamentará la administración y funcionamiento del </w:t>
            </w:r>
            <w:proofErr w:type="spellStart"/>
            <w:r w:rsidRPr="004C0CB2">
              <w:rPr>
                <w:rFonts w:ascii="Cambria" w:hAnsi="Cambria"/>
                <w:sz w:val="20"/>
                <w:szCs w:val="20"/>
                <w:highlight w:val="yellow"/>
              </w:rPr>
              <w:t>Fonsurec</w:t>
            </w:r>
            <w:proofErr w:type="spellEnd"/>
          </w:p>
          <w:p w:rsidR="002003F0" w:rsidRPr="008B6968" w:rsidRDefault="002003F0" w:rsidP="008B6968">
            <w:pPr>
              <w:jc w:val="both"/>
              <w:rPr>
                <w:rFonts w:ascii="Cambria" w:hAnsi="Cambria"/>
                <w:sz w:val="20"/>
                <w:szCs w:val="20"/>
              </w:rPr>
            </w:pPr>
          </w:p>
          <w:p w:rsidR="004C0CB2" w:rsidRDefault="004C0CB2" w:rsidP="008B6968">
            <w:pPr>
              <w:jc w:val="both"/>
              <w:rPr>
                <w:rStyle w:val="baj"/>
                <w:rFonts w:ascii="Cambria" w:hAnsi="Cambria" w:cs="Open Sans"/>
                <w:b/>
                <w:bCs/>
                <w:color w:val="000000"/>
                <w:sz w:val="20"/>
                <w:szCs w:val="20"/>
              </w:rPr>
            </w:pPr>
          </w:p>
          <w:p w:rsidR="004C0CB2" w:rsidRDefault="004C0CB2" w:rsidP="008B6968">
            <w:pPr>
              <w:jc w:val="both"/>
              <w:rPr>
                <w:rStyle w:val="baj"/>
                <w:rFonts w:cs="Open Sans"/>
                <w:b/>
                <w:bCs/>
                <w:color w:val="000000"/>
              </w:rPr>
            </w:pPr>
          </w:p>
          <w:p w:rsidR="004C0CB2" w:rsidRDefault="004C0CB2" w:rsidP="008B6968">
            <w:pPr>
              <w:jc w:val="both"/>
              <w:rPr>
                <w:rStyle w:val="baj"/>
                <w:rFonts w:ascii="Cambria" w:hAnsi="Cambria" w:cs="Open Sans"/>
                <w:b/>
                <w:bCs/>
                <w:color w:val="000000"/>
                <w:sz w:val="20"/>
                <w:szCs w:val="20"/>
              </w:rPr>
            </w:pPr>
          </w:p>
          <w:p w:rsidR="004C0CB2" w:rsidRDefault="004C0CB2" w:rsidP="008B6968">
            <w:pPr>
              <w:jc w:val="both"/>
              <w:rPr>
                <w:rStyle w:val="baj"/>
                <w:rFonts w:ascii="Cambria" w:hAnsi="Cambria" w:cs="Open Sans"/>
                <w:b/>
                <w:bCs/>
                <w:color w:val="000000"/>
                <w:sz w:val="20"/>
                <w:szCs w:val="20"/>
              </w:rPr>
            </w:pPr>
          </w:p>
          <w:p w:rsidR="00E906EC" w:rsidRDefault="00E906EC" w:rsidP="008B6968">
            <w:pPr>
              <w:jc w:val="both"/>
              <w:rPr>
                <w:rFonts w:ascii="Cambria" w:hAnsi="Cambria"/>
                <w:sz w:val="20"/>
                <w:szCs w:val="20"/>
              </w:rPr>
            </w:pPr>
            <w:r w:rsidRPr="008B6968">
              <w:rPr>
                <w:rStyle w:val="baj"/>
                <w:rFonts w:ascii="Cambria" w:hAnsi="Cambria" w:cs="Open Sans"/>
                <w:b/>
                <w:bCs/>
                <w:color w:val="000000"/>
                <w:sz w:val="20"/>
                <w:szCs w:val="20"/>
              </w:rPr>
              <w:t>PARÁGRAFO 2o. </w:t>
            </w:r>
            <w:r w:rsidRPr="004C0CB2">
              <w:rPr>
                <w:rFonts w:ascii="Cambria" w:hAnsi="Cambria"/>
                <w:sz w:val="20"/>
                <w:szCs w:val="20"/>
                <w:highlight w:val="yellow"/>
              </w:rPr>
              <w:t xml:space="preserve">El </w:t>
            </w:r>
            <w:proofErr w:type="spellStart"/>
            <w:r w:rsidRPr="004C0CB2">
              <w:rPr>
                <w:rFonts w:ascii="Cambria" w:hAnsi="Cambria"/>
                <w:sz w:val="20"/>
                <w:szCs w:val="20"/>
                <w:highlight w:val="yellow"/>
              </w:rPr>
              <w:t>Fonsurec</w:t>
            </w:r>
            <w:proofErr w:type="spellEnd"/>
            <w:r w:rsidRPr="008B6968">
              <w:rPr>
                <w:rFonts w:ascii="Cambria" w:hAnsi="Cambria"/>
                <w:sz w:val="20"/>
                <w:szCs w:val="20"/>
              </w:rPr>
              <w:t>, además de los recursos del Impuesto Nacional al Carbono, podrá recibir recursos de otras fuentes del Presupuesto General de la Nación que la ley determine, cooperación nacional, cooperación internacional, clonaciones, aportes a cualquier título de las entidades públicas y privadas y los demás recursos que obtenga o se le asignen a cualquier título. Los rendimientos financieros que generen los recursos del patrimonio autónomo serán del fondo. Con cargo a los recursos del patrimonio autónomo y sus rendimientos financieros se atenderán los gastos operativos y administrativos requeridos para su funcionamiento.</w:t>
            </w:r>
          </w:p>
          <w:p w:rsidR="002003F0" w:rsidRDefault="002003F0" w:rsidP="008B6968">
            <w:pPr>
              <w:jc w:val="both"/>
              <w:rPr>
                <w:rFonts w:ascii="Cambria" w:hAnsi="Cambria"/>
                <w:sz w:val="20"/>
                <w:szCs w:val="20"/>
              </w:rPr>
            </w:pPr>
          </w:p>
          <w:p w:rsidR="004C0CB2" w:rsidRPr="008B6968" w:rsidRDefault="004C0CB2" w:rsidP="008B6968">
            <w:pPr>
              <w:jc w:val="both"/>
              <w:rPr>
                <w:rFonts w:ascii="Cambria" w:hAnsi="Cambria"/>
                <w:sz w:val="20"/>
                <w:szCs w:val="20"/>
              </w:rPr>
            </w:pPr>
          </w:p>
          <w:p w:rsidR="00E906EC" w:rsidRDefault="00E906EC" w:rsidP="008B6968">
            <w:pPr>
              <w:jc w:val="both"/>
              <w:rPr>
                <w:rFonts w:ascii="Cambria" w:hAnsi="Cambria"/>
                <w:sz w:val="20"/>
                <w:szCs w:val="20"/>
              </w:rPr>
            </w:pPr>
            <w:r w:rsidRPr="008B6968">
              <w:rPr>
                <w:rStyle w:val="baj"/>
                <w:rFonts w:ascii="Cambria" w:hAnsi="Cambria" w:cs="Open Sans"/>
                <w:b/>
                <w:bCs/>
                <w:color w:val="000000"/>
                <w:sz w:val="20"/>
                <w:szCs w:val="20"/>
              </w:rPr>
              <w:t>PARÁGRAFO 3o. </w:t>
            </w:r>
            <w:r w:rsidRPr="008B6968">
              <w:rPr>
                <w:rFonts w:ascii="Cambria" w:hAnsi="Cambria"/>
                <w:sz w:val="20"/>
                <w:szCs w:val="20"/>
              </w:rPr>
              <w:t xml:space="preserve">El Ministerio de Ambiente y Desarrollo Sostenible podrá transferir los recursos que se le apropien en el Presupuesto General de la Nación </w:t>
            </w:r>
            <w:r w:rsidRPr="004C0CB2">
              <w:rPr>
                <w:rFonts w:ascii="Cambria" w:hAnsi="Cambria"/>
                <w:sz w:val="20"/>
                <w:szCs w:val="20"/>
                <w:highlight w:val="yellow"/>
              </w:rPr>
              <w:t xml:space="preserve">al </w:t>
            </w:r>
            <w:proofErr w:type="spellStart"/>
            <w:r w:rsidRPr="004C0CB2">
              <w:rPr>
                <w:rFonts w:ascii="Cambria" w:hAnsi="Cambria"/>
                <w:sz w:val="20"/>
                <w:szCs w:val="20"/>
                <w:highlight w:val="yellow"/>
              </w:rPr>
              <w:t>Fonsurec</w:t>
            </w:r>
            <w:proofErr w:type="spellEnd"/>
            <w:r w:rsidRPr="008B6968">
              <w:rPr>
                <w:rFonts w:ascii="Cambria" w:hAnsi="Cambria"/>
                <w:sz w:val="20"/>
                <w:szCs w:val="20"/>
              </w:rPr>
              <w:t xml:space="preserve"> conforme al parágrafo 2 del presente artículo.</w:t>
            </w:r>
          </w:p>
          <w:p w:rsidR="002003F0" w:rsidRDefault="002003F0" w:rsidP="008B6968">
            <w:pPr>
              <w:jc w:val="both"/>
              <w:rPr>
                <w:rFonts w:ascii="Cambria" w:hAnsi="Cambria"/>
                <w:sz w:val="20"/>
                <w:szCs w:val="20"/>
              </w:rPr>
            </w:pPr>
          </w:p>
          <w:p w:rsidR="004C0CB2" w:rsidRPr="008B6968" w:rsidRDefault="004C0CB2" w:rsidP="008B6968">
            <w:pPr>
              <w:jc w:val="both"/>
              <w:rPr>
                <w:rFonts w:ascii="Cambria" w:hAnsi="Cambria"/>
                <w:sz w:val="20"/>
                <w:szCs w:val="20"/>
              </w:rPr>
            </w:pPr>
          </w:p>
          <w:p w:rsidR="00E906EC" w:rsidRDefault="00E906EC" w:rsidP="008B6968">
            <w:pPr>
              <w:jc w:val="both"/>
              <w:rPr>
                <w:rFonts w:ascii="Cambria" w:hAnsi="Cambria"/>
                <w:sz w:val="20"/>
                <w:szCs w:val="20"/>
              </w:rPr>
            </w:pPr>
            <w:r w:rsidRPr="008B6968">
              <w:rPr>
                <w:rStyle w:val="baj"/>
                <w:rFonts w:ascii="Cambria" w:hAnsi="Cambria" w:cs="Open Sans"/>
                <w:b/>
                <w:bCs/>
                <w:color w:val="000000"/>
                <w:sz w:val="20"/>
                <w:szCs w:val="20"/>
              </w:rPr>
              <w:t>PARÁGRAFO 4o. </w:t>
            </w:r>
            <w:r w:rsidRPr="008B6968">
              <w:rPr>
                <w:rFonts w:ascii="Cambria" w:hAnsi="Cambria"/>
                <w:sz w:val="20"/>
                <w:szCs w:val="20"/>
              </w:rPr>
              <w:t xml:space="preserve">La ordenación del gasto del </w:t>
            </w:r>
            <w:proofErr w:type="spellStart"/>
            <w:r w:rsidRPr="004C0CB2">
              <w:rPr>
                <w:rFonts w:ascii="Cambria" w:hAnsi="Cambria"/>
                <w:sz w:val="20"/>
                <w:szCs w:val="20"/>
                <w:highlight w:val="yellow"/>
              </w:rPr>
              <w:t>Fonsurec</w:t>
            </w:r>
            <w:proofErr w:type="spellEnd"/>
            <w:r w:rsidRPr="008B6968">
              <w:rPr>
                <w:rFonts w:ascii="Cambria" w:hAnsi="Cambria"/>
                <w:sz w:val="20"/>
                <w:szCs w:val="20"/>
              </w:rPr>
              <w:t>, así como el nombramiento del consejo directivo, estará a cargo del Ministro de Ambiente y Desarrollo Sostenible, o quien este delegue.</w:t>
            </w:r>
          </w:p>
          <w:p w:rsidR="002003F0" w:rsidRPr="008B6968" w:rsidRDefault="002003F0" w:rsidP="008B6968">
            <w:pPr>
              <w:jc w:val="both"/>
              <w:rPr>
                <w:rFonts w:ascii="Cambria" w:hAnsi="Cambria"/>
                <w:sz w:val="20"/>
                <w:szCs w:val="20"/>
              </w:rPr>
            </w:pPr>
          </w:p>
          <w:p w:rsidR="00E906EC" w:rsidRPr="008B6968" w:rsidRDefault="00E906EC" w:rsidP="008B6968">
            <w:pPr>
              <w:jc w:val="both"/>
              <w:rPr>
                <w:rFonts w:ascii="Cambria" w:hAnsi="Cambria"/>
                <w:sz w:val="20"/>
                <w:szCs w:val="20"/>
              </w:rPr>
            </w:pPr>
            <w:r w:rsidRPr="004C0CB2">
              <w:rPr>
                <w:rStyle w:val="baj"/>
                <w:rFonts w:ascii="Cambria" w:hAnsi="Cambria" w:cs="Open Sans"/>
                <w:b/>
                <w:bCs/>
                <w:color w:val="000000"/>
                <w:sz w:val="20"/>
                <w:szCs w:val="20"/>
                <w:highlight w:val="yellow"/>
              </w:rPr>
              <w:t>PARÁGRAFO TRANSITORIO. </w:t>
            </w:r>
            <w:r w:rsidRPr="004C0CB2">
              <w:rPr>
                <w:rFonts w:ascii="Cambria" w:hAnsi="Cambria"/>
                <w:sz w:val="20"/>
                <w:szCs w:val="20"/>
                <w:highlight w:val="yellow"/>
              </w:rPr>
              <w:t>Los recursos presupuestados en el Fondo Nacional Ambiental (</w:t>
            </w:r>
            <w:proofErr w:type="spellStart"/>
            <w:r w:rsidRPr="004C0CB2">
              <w:rPr>
                <w:rFonts w:ascii="Cambria" w:hAnsi="Cambria"/>
                <w:sz w:val="20"/>
                <w:szCs w:val="20"/>
                <w:highlight w:val="yellow"/>
              </w:rPr>
              <w:t>Fonam</w:t>
            </w:r>
            <w:proofErr w:type="spellEnd"/>
            <w:r w:rsidRPr="004C0CB2">
              <w:rPr>
                <w:rFonts w:ascii="Cambria" w:hAnsi="Cambria"/>
                <w:sz w:val="20"/>
                <w:szCs w:val="20"/>
                <w:highlight w:val="yellow"/>
              </w:rPr>
              <w:t xml:space="preserve">) para la vigencia fiscal 2023 apropiados en el Presupuesto General de la Nación, correspondientes al Impuesto Nacional al Carbono efectivamente recaudado podrán ser transferidos· al </w:t>
            </w:r>
            <w:proofErr w:type="spellStart"/>
            <w:r w:rsidRPr="004C0CB2">
              <w:rPr>
                <w:rFonts w:ascii="Cambria" w:hAnsi="Cambria"/>
                <w:sz w:val="20"/>
                <w:szCs w:val="20"/>
                <w:highlight w:val="yellow"/>
              </w:rPr>
              <w:t>Fonsurec</w:t>
            </w:r>
            <w:proofErr w:type="spellEnd"/>
            <w:r w:rsidRPr="004C0CB2">
              <w:rPr>
                <w:rFonts w:ascii="Cambria" w:hAnsi="Cambria"/>
                <w:sz w:val="20"/>
                <w:szCs w:val="20"/>
                <w:highlight w:val="yellow"/>
              </w:rPr>
              <w:t xml:space="preserve">. Los saldos del impuesto Nacional al Carbono recaudados y no distribuidos al treinta y uno (31) de diciembre de 2022 se destinarán a los fines previstos en el inciso 1º del presente artículo. Hasta tanto se constituya y entre en operación el Fondo creado mediante el presente artículo, los recursos del Impuesto Nacional al Carbono apropiados para la vigencia fiscal 2023, se continuarán administrando y distribuyendo de acuerdo con el marco normativo vigente para el </w:t>
            </w:r>
            <w:proofErr w:type="spellStart"/>
            <w:r w:rsidRPr="004C0CB2">
              <w:rPr>
                <w:rFonts w:ascii="Cambria" w:hAnsi="Cambria"/>
                <w:sz w:val="20"/>
                <w:szCs w:val="20"/>
                <w:highlight w:val="yellow"/>
              </w:rPr>
              <w:t>Fonam</w:t>
            </w:r>
            <w:proofErr w:type="spellEnd"/>
            <w:r w:rsidRPr="004C0CB2">
              <w:rPr>
                <w:rFonts w:ascii="Cambria" w:hAnsi="Cambria"/>
                <w:sz w:val="20"/>
                <w:szCs w:val="20"/>
                <w:highlight w:val="yellow"/>
              </w:rPr>
              <w:t>.</w:t>
            </w:r>
          </w:p>
          <w:p w:rsidR="00E906EC" w:rsidRPr="008B6968" w:rsidRDefault="00E906EC" w:rsidP="008B6968">
            <w:pPr>
              <w:jc w:val="both"/>
              <w:rPr>
                <w:rFonts w:ascii="Cambria" w:hAnsi="Cambria"/>
                <w:b/>
                <w:bCs/>
                <w:color w:val="BE9E55"/>
                <w:sz w:val="20"/>
                <w:szCs w:val="20"/>
              </w:rPr>
            </w:pPr>
          </w:p>
        </w:tc>
        <w:tc>
          <w:tcPr>
            <w:tcW w:w="4414" w:type="dxa"/>
          </w:tcPr>
          <w:p w:rsidR="002003F0" w:rsidRPr="002003F0" w:rsidRDefault="002003F0" w:rsidP="002003F0">
            <w:pPr>
              <w:jc w:val="both"/>
              <w:rPr>
                <w:rFonts w:ascii="Cambria" w:hAnsi="Cambria"/>
                <w:sz w:val="20"/>
                <w:szCs w:val="20"/>
              </w:rPr>
            </w:pPr>
            <w:r w:rsidRPr="002003F0">
              <w:rPr>
                <w:rFonts w:ascii="Cambria" w:hAnsi="Cambria"/>
                <w:b/>
                <w:bCs/>
                <w:color w:val="000000" w:themeColor="text1"/>
                <w:sz w:val="20"/>
                <w:szCs w:val="20"/>
              </w:rPr>
              <w:lastRenderedPageBreak/>
              <w:t>Artículo 223. Destinación específica del impuesto nacional al carbono</w:t>
            </w:r>
            <w:r>
              <w:rPr>
                <w:rFonts w:ascii="Cambria" w:hAnsi="Cambria"/>
                <w:b/>
                <w:bCs/>
                <w:color w:val="000000" w:themeColor="text1"/>
                <w:sz w:val="20"/>
                <w:szCs w:val="20"/>
              </w:rPr>
              <w:t xml:space="preserve"> </w:t>
            </w:r>
            <w:r w:rsidRPr="00C742BB">
              <w:rPr>
                <w:rFonts w:ascii="Cambria" w:hAnsi="Cambria"/>
                <w:b/>
                <w:bCs/>
                <w:color w:val="FF0000"/>
                <w:sz w:val="20"/>
                <w:szCs w:val="20"/>
              </w:rPr>
              <w:t>(modificado con artículo 3</w:t>
            </w:r>
            <w:r>
              <w:rPr>
                <w:rFonts w:ascii="Cambria" w:hAnsi="Cambria"/>
                <w:b/>
                <w:bCs/>
                <w:color w:val="FF0000"/>
                <w:sz w:val="20"/>
                <w:szCs w:val="20"/>
              </w:rPr>
              <w:t>3</w:t>
            </w:r>
            <w:r w:rsidRPr="00C742BB">
              <w:rPr>
                <w:rFonts w:ascii="Cambria" w:hAnsi="Cambria"/>
                <w:b/>
                <w:bCs/>
                <w:color w:val="FF0000"/>
                <w:sz w:val="20"/>
                <w:szCs w:val="20"/>
              </w:rPr>
              <w:t xml:space="preserve"> proyecto de </w:t>
            </w:r>
            <w:r w:rsidR="00852E78">
              <w:rPr>
                <w:rFonts w:ascii="Cambria" w:hAnsi="Cambria"/>
                <w:b/>
                <w:bCs/>
                <w:color w:val="FF0000"/>
                <w:sz w:val="20"/>
                <w:szCs w:val="20"/>
              </w:rPr>
              <w:t>Ley septiembre de 2025</w:t>
            </w:r>
            <w:r w:rsidRPr="00C742BB">
              <w:rPr>
                <w:rFonts w:ascii="Cambria" w:hAnsi="Cambria"/>
                <w:b/>
                <w:bCs/>
                <w:color w:val="FF0000"/>
                <w:sz w:val="20"/>
                <w:szCs w:val="20"/>
              </w:rPr>
              <w:t>). </w:t>
            </w:r>
            <w:r w:rsidRPr="002003F0">
              <w:rPr>
                <w:rFonts w:ascii="Cambria" w:hAnsi="Cambria"/>
                <w:sz w:val="20"/>
                <w:szCs w:val="20"/>
              </w:rPr>
              <w:t xml:space="preserve">El Gobierno nacional, a través del Ministerio de Ambiente y Desarrollo Sostenible, a partir del primero (1) de enero de </w:t>
            </w:r>
            <w:r w:rsidRPr="002003F0">
              <w:rPr>
                <w:rFonts w:ascii="Cambria" w:hAnsi="Cambria"/>
                <w:sz w:val="20"/>
                <w:szCs w:val="20"/>
                <w:highlight w:val="yellow"/>
              </w:rPr>
              <w:t>2026</w:t>
            </w:r>
            <w:r w:rsidRPr="002003F0">
              <w:rPr>
                <w:rFonts w:ascii="Cambria" w:hAnsi="Cambria"/>
                <w:sz w:val="20"/>
                <w:szCs w:val="20"/>
              </w:rPr>
              <w:t xml:space="preserve">, destinará el </w:t>
            </w:r>
            <w:r w:rsidRPr="002003F0">
              <w:rPr>
                <w:rFonts w:ascii="Cambria" w:hAnsi="Cambria"/>
                <w:sz w:val="20"/>
                <w:szCs w:val="20"/>
                <w:highlight w:val="yellow"/>
              </w:rPr>
              <w:t>cuarenta y cinco</w:t>
            </w:r>
            <w:r w:rsidRPr="002003F0">
              <w:rPr>
                <w:rFonts w:ascii="Cambria" w:hAnsi="Cambria"/>
                <w:sz w:val="20"/>
                <w:szCs w:val="20"/>
              </w:rPr>
              <w:t xml:space="preserve"> por ciento (</w:t>
            </w:r>
            <w:r w:rsidRPr="002003F0">
              <w:rPr>
                <w:rFonts w:ascii="Cambria" w:hAnsi="Cambria"/>
                <w:sz w:val="20"/>
                <w:szCs w:val="20"/>
                <w:highlight w:val="yellow"/>
              </w:rPr>
              <w:t>45,0 %)</w:t>
            </w:r>
            <w:r w:rsidRPr="002003F0">
              <w:rPr>
                <w:rFonts w:ascii="Cambria" w:hAnsi="Cambria"/>
                <w:sz w:val="20"/>
                <w:szCs w:val="20"/>
              </w:rPr>
              <w:t xml:space="preserve"> del recaudo del Impuesto Nacional al Carbono al manejo de la erosión costera; la reducción de la deforestación y su monitoreo; la conservación de fuentes hídricas y humedales; la protección, preservación, restauración y uso sostenible de áreas y ecosistemas estratégicos a través de programas de reforestación, restauración, esquemas de Pago por Servicios Ambientales (PSA) priorizando los municipios PDET donde haya presencia de economías ilícitas, incentivos a la conservación, entre otros instrumentos; la promoción y fomento de la conservación y uso sostenible de la biodiversidad; el financiamiento de las metas y medidas en materia de acción climática establecidas en la Ley 2169 de 2021, así como las previstas en la Contribución Determinada a Nivel Nacional de Colombia (NDC) sometida ante la Convención Marco de las Naciones Unidas para el Cambio Climático, o cualquiera que la actualice o sustituya, de conformidad con los lineamientos que establezca el Ministerio de Ambiente y Desarrollo Sostenible. Estos recursos serán administrados a través del Fondo </w:t>
            </w:r>
            <w:r w:rsidRPr="004C0CB2">
              <w:rPr>
                <w:rFonts w:ascii="Cambria" w:hAnsi="Cambria"/>
                <w:sz w:val="20"/>
                <w:szCs w:val="20"/>
                <w:highlight w:val="yellow"/>
              </w:rPr>
              <w:t>para la Vida y la Biodiversidad</w:t>
            </w:r>
            <w:r w:rsidRPr="002003F0">
              <w:rPr>
                <w:rFonts w:ascii="Cambria" w:hAnsi="Cambria"/>
                <w:sz w:val="20"/>
                <w:szCs w:val="20"/>
              </w:rPr>
              <w:t xml:space="preserve"> de que trata el parágrafo 1 del presente artículo. </w:t>
            </w:r>
          </w:p>
          <w:p w:rsidR="004C0CB2" w:rsidRDefault="004C0CB2" w:rsidP="002003F0">
            <w:pPr>
              <w:jc w:val="both"/>
              <w:rPr>
                <w:rFonts w:ascii="Cambria" w:hAnsi="Cambria"/>
                <w:sz w:val="20"/>
                <w:szCs w:val="20"/>
              </w:rPr>
            </w:pPr>
          </w:p>
          <w:p w:rsidR="002003F0" w:rsidRPr="002003F0" w:rsidRDefault="002003F0" w:rsidP="002003F0">
            <w:pPr>
              <w:jc w:val="both"/>
              <w:rPr>
                <w:rFonts w:ascii="Cambria" w:hAnsi="Cambria"/>
                <w:sz w:val="20"/>
                <w:szCs w:val="20"/>
              </w:rPr>
            </w:pPr>
            <w:r w:rsidRPr="004C0CB2">
              <w:rPr>
                <w:rFonts w:ascii="Cambria" w:hAnsi="Cambria"/>
                <w:sz w:val="20"/>
                <w:szCs w:val="20"/>
                <w:highlight w:val="yellow"/>
              </w:rPr>
              <w:t>A partir del primero (1) de enero de 2026 el once por ciento (11%)</w:t>
            </w:r>
            <w:r w:rsidRPr="002003F0">
              <w:rPr>
                <w:rFonts w:ascii="Cambria" w:hAnsi="Cambria"/>
                <w:sz w:val="20"/>
                <w:szCs w:val="20"/>
              </w:rPr>
              <w:t xml:space="preserve"> se destinará para la financiación del Programa Nacional Integral de Sustitución de Cultivos de Uso Ilícito (PNIS). Para tal efecto, el Ministerio de Hacienda y Crédito Público transferirá dichos recursos al Fondo Colombia en Paz (FCP) de que trata el Artículo 1o del Decreto ley 691 de 2017. Se priorizarán los proyectos que se pretendan implementar en los Municipios de Programas de Desarrollo con Enfoque Territorial (PDET). </w:t>
            </w:r>
          </w:p>
          <w:p w:rsidR="004C0CB2" w:rsidRDefault="004C0CB2" w:rsidP="002003F0">
            <w:pPr>
              <w:jc w:val="both"/>
              <w:rPr>
                <w:rFonts w:ascii="Cambria" w:hAnsi="Cambria"/>
                <w:sz w:val="20"/>
                <w:szCs w:val="20"/>
              </w:rPr>
            </w:pPr>
          </w:p>
          <w:p w:rsidR="002003F0" w:rsidRPr="002003F0" w:rsidRDefault="002003F0" w:rsidP="002003F0">
            <w:pPr>
              <w:jc w:val="both"/>
              <w:rPr>
                <w:rFonts w:ascii="Cambria" w:hAnsi="Cambria"/>
                <w:sz w:val="20"/>
                <w:szCs w:val="20"/>
              </w:rPr>
            </w:pPr>
            <w:r w:rsidRPr="004C0CB2">
              <w:rPr>
                <w:rFonts w:ascii="Cambria" w:hAnsi="Cambria"/>
                <w:sz w:val="20"/>
                <w:szCs w:val="20"/>
                <w:highlight w:val="yellow"/>
              </w:rPr>
              <w:lastRenderedPageBreak/>
              <w:t>En cada anualidad el porcentaje restante del recaudo del Impuesto Nacional al Carbono corresponderá a recursos del Presupuesto General de la Nación</w:t>
            </w:r>
            <w:r w:rsidRPr="002003F0">
              <w:rPr>
                <w:rFonts w:ascii="Cambria" w:hAnsi="Cambria"/>
                <w:sz w:val="20"/>
                <w:szCs w:val="20"/>
              </w:rPr>
              <w:t xml:space="preserve">. </w:t>
            </w:r>
          </w:p>
          <w:p w:rsidR="004C0CB2" w:rsidRDefault="004C0CB2" w:rsidP="002003F0">
            <w:pPr>
              <w:jc w:val="both"/>
              <w:rPr>
                <w:rFonts w:ascii="Cambria" w:hAnsi="Cambria"/>
                <w:sz w:val="20"/>
                <w:szCs w:val="20"/>
              </w:rPr>
            </w:pPr>
          </w:p>
          <w:p w:rsidR="002003F0" w:rsidRDefault="002003F0" w:rsidP="002003F0">
            <w:pPr>
              <w:jc w:val="both"/>
              <w:rPr>
                <w:rFonts w:ascii="Cambria" w:hAnsi="Cambria"/>
                <w:sz w:val="20"/>
                <w:szCs w:val="20"/>
              </w:rPr>
            </w:pPr>
            <w:r w:rsidRPr="002003F0">
              <w:rPr>
                <w:rFonts w:ascii="Cambria" w:hAnsi="Cambria"/>
                <w:sz w:val="20"/>
                <w:szCs w:val="20"/>
              </w:rPr>
              <w:t xml:space="preserve">Parágrafo 1. </w:t>
            </w:r>
            <w:r w:rsidRPr="004C0CB2">
              <w:rPr>
                <w:rFonts w:ascii="Cambria" w:hAnsi="Cambria"/>
                <w:sz w:val="20"/>
                <w:szCs w:val="20"/>
              </w:rPr>
              <w:t>El Fondo para la Sustentabilidad y la Resiliencia Climática FONSUREC</w:t>
            </w:r>
            <w:r w:rsidRPr="004C0CB2">
              <w:rPr>
                <w:rFonts w:ascii="Cambria" w:hAnsi="Cambria"/>
                <w:sz w:val="20"/>
                <w:szCs w:val="20"/>
                <w:highlight w:val="yellow"/>
              </w:rPr>
              <w:t xml:space="preserve"> creado por la Ley 1819 de 2016 y denominado por la Ley 2294 de 2023 como Fondo para la Vida y la Biodiversidad es un</w:t>
            </w:r>
            <w:r w:rsidRPr="002003F0">
              <w:rPr>
                <w:rFonts w:ascii="Cambria" w:hAnsi="Cambria"/>
                <w:sz w:val="20"/>
                <w:szCs w:val="20"/>
              </w:rPr>
              <w:t xml:space="preserve"> Patrimonio Autónomo, adscrito al Ministerio de Ambiente y Desarrollo Sostenible y sus recursos serán administrados por la sociedad fiduciaria que el Ministerio de Ambiente y Desarrollo Sostenible determine. La selección de la sociedad fiduciaria, su contratación, así como los actos y contratos requeridos para la administración, distribución y ejecución de los recursos se regirá por las normas del derecho privado; observando en todo caso los principios de igualdad, moralidad, eficacia, economía, celeridad, imparcialidad y publicidad. Dicho Fondo tendrá como mínimo un consejo directivo y un director ejecutivo. El Ministerio de Ambiente y Desarrollo Sostenible reglamentará la administración y funcionamiento </w:t>
            </w:r>
            <w:r w:rsidRPr="004C0CB2">
              <w:rPr>
                <w:rFonts w:ascii="Cambria" w:hAnsi="Cambria"/>
                <w:sz w:val="20"/>
                <w:szCs w:val="20"/>
                <w:highlight w:val="yellow"/>
              </w:rPr>
              <w:t>del Fondo para la Vida y la Biodiversidad.</w:t>
            </w:r>
            <w:r w:rsidRPr="002003F0">
              <w:rPr>
                <w:rFonts w:ascii="Cambria" w:hAnsi="Cambria"/>
                <w:sz w:val="20"/>
                <w:szCs w:val="20"/>
              </w:rPr>
              <w:t xml:space="preserve"> </w:t>
            </w:r>
          </w:p>
          <w:p w:rsidR="004C0CB2" w:rsidRPr="002003F0" w:rsidRDefault="004C0CB2" w:rsidP="002003F0">
            <w:pPr>
              <w:jc w:val="both"/>
              <w:rPr>
                <w:rFonts w:ascii="Cambria" w:hAnsi="Cambria"/>
                <w:sz w:val="20"/>
                <w:szCs w:val="20"/>
              </w:rPr>
            </w:pPr>
          </w:p>
          <w:p w:rsidR="002003F0" w:rsidRDefault="002003F0" w:rsidP="002003F0">
            <w:pPr>
              <w:jc w:val="both"/>
              <w:rPr>
                <w:rFonts w:ascii="Cambria" w:hAnsi="Cambria"/>
                <w:sz w:val="20"/>
                <w:szCs w:val="20"/>
              </w:rPr>
            </w:pPr>
            <w:r w:rsidRPr="004C0CB2">
              <w:rPr>
                <w:rFonts w:ascii="Cambria" w:hAnsi="Cambria"/>
                <w:b/>
                <w:bCs/>
                <w:sz w:val="20"/>
                <w:szCs w:val="20"/>
              </w:rPr>
              <w:t>Parágrafo 2.</w:t>
            </w:r>
            <w:r w:rsidRPr="002003F0">
              <w:rPr>
                <w:rFonts w:ascii="Cambria" w:hAnsi="Cambria"/>
                <w:sz w:val="20"/>
                <w:szCs w:val="20"/>
              </w:rPr>
              <w:t xml:space="preserve"> </w:t>
            </w:r>
            <w:r w:rsidRPr="004C0CB2">
              <w:rPr>
                <w:rFonts w:ascii="Cambria" w:hAnsi="Cambria"/>
                <w:sz w:val="20"/>
                <w:szCs w:val="20"/>
                <w:highlight w:val="yellow"/>
              </w:rPr>
              <w:t>El Fondo para la Vida y la Biodiversidad</w:t>
            </w:r>
            <w:r w:rsidRPr="002003F0">
              <w:rPr>
                <w:rFonts w:ascii="Cambria" w:hAnsi="Cambria"/>
                <w:sz w:val="20"/>
                <w:szCs w:val="20"/>
              </w:rPr>
              <w:t xml:space="preserve">, además de los recursos del Impuesto Nacional al Carbono, podrá recibir recursos de otras fuentes del Presupuesto General de la Nación que la ley determine, cooperación nacional, cooperación internacional, clonaciones, aportes a cualquier título de las entidades públicas y privadas y los demás recursos que obtenga o se le asignen a cualquier título. Los rendimientos financieros que generen los recursos del patrimonio autónomo serán del fondo. Con cargo a los recursos del patrimonio autónomo y sus rendimientos financieros se atenderán los gastos operativos y administrativos requeridos para su funcionamiento. </w:t>
            </w:r>
          </w:p>
          <w:p w:rsidR="004C0CB2" w:rsidRPr="002003F0" w:rsidRDefault="004C0CB2" w:rsidP="002003F0">
            <w:pPr>
              <w:jc w:val="both"/>
              <w:rPr>
                <w:rFonts w:ascii="Cambria" w:hAnsi="Cambria"/>
                <w:sz w:val="20"/>
                <w:szCs w:val="20"/>
              </w:rPr>
            </w:pPr>
          </w:p>
          <w:p w:rsidR="002003F0" w:rsidRDefault="002003F0" w:rsidP="002003F0">
            <w:pPr>
              <w:jc w:val="both"/>
              <w:rPr>
                <w:rFonts w:ascii="Cambria" w:hAnsi="Cambria"/>
                <w:sz w:val="20"/>
                <w:szCs w:val="20"/>
              </w:rPr>
            </w:pPr>
            <w:r w:rsidRPr="004C0CB2">
              <w:rPr>
                <w:rFonts w:ascii="Cambria" w:hAnsi="Cambria"/>
                <w:b/>
                <w:bCs/>
                <w:sz w:val="20"/>
                <w:szCs w:val="20"/>
              </w:rPr>
              <w:t>Parágrafo 3.</w:t>
            </w:r>
            <w:r w:rsidRPr="002003F0">
              <w:rPr>
                <w:rFonts w:ascii="Cambria" w:hAnsi="Cambria"/>
                <w:sz w:val="20"/>
                <w:szCs w:val="20"/>
              </w:rPr>
              <w:t xml:space="preserve"> El Ministerio de Ambiente y Desarrollo Sostenible podrá transferir los recursos que se le apropien en el Presupuesto General de la Nación </w:t>
            </w:r>
            <w:r w:rsidRPr="004C0CB2">
              <w:rPr>
                <w:rFonts w:ascii="Cambria" w:hAnsi="Cambria"/>
                <w:sz w:val="20"/>
                <w:szCs w:val="20"/>
                <w:highlight w:val="yellow"/>
              </w:rPr>
              <w:t>al Fondo para la Vida y la Biodiversidad</w:t>
            </w:r>
            <w:r w:rsidRPr="002003F0">
              <w:rPr>
                <w:rFonts w:ascii="Cambria" w:hAnsi="Cambria"/>
                <w:sz w:val="20"/>
                <w:szCs w:val="20"/>
              </w:rPr>
              <w:t xml:space="preserve"> conforme al parágrafo 2 del presente artículo. </w:t>
            </w:r>
          </w:p>
          <w:p w:rsidR="004C0CB2" w:rsidRPr="002003F0" w:rsidRDefault="004C0CB2" w:rsidP="002003F0">
            <w:pPr>
              <w:jc w:val="both"/>
              <w:rPr>
                <w:rFonts w:ascii="Cambria" w:hAnsi="Cambria"/>
                <w:sz w:val="20"/>
                <w:szCs w:val="20"/>
              </w:rPr>
            </w:pPr>
          </w:p>
          <w:p w:rsidR="00E906EC" w:rsidRPr="002003F0" w:rsidRDefault="002003F0" w:rsidP="002003F0">
            <w:pPr>
              <w:jc w:val="both"/>
              <w:rPr>
                <w:rFonts w:ascii="Cambria" w:hAnsi="Cambria"/>
                <w:sz w:val="20"/>
                <w:szCs w:val="20"/>
                <w:lang w:val="es-ES"/>
              </w:rPr>
            </w:pPr>
            <w:r w:rsidRPr="004C0CB2">
              <w:rPr>
                <w:rFonts w:ascii="Cambria" w:hAnsi="Cambria"/>
                <w:b/>
                <w:bCs/>
                <w:sz w:val="20"/>
                <w:szCs w:val="20"/>
              </w:rPr>
              <w:t>Parágrafo 4.</w:t>
            </w:r>
            <w:r w:rsidRPr="002003F0">
              <w:rPr>
                <w:rFonts w:ascii="Cambria" w:hAnsi="Cambria"/>
                <w:sz w:val="20"/>
                <w:szCs w:val="20"/>
              </w:rPr>
              <w:t xml:space="preserve"> La ordenación del gasto del </w:t>
            </w:r>
            <w:r w:rsidRPr="004C0CB2">
              <w:rPr>
                <w:rFonts w:ascii="Cambria" w:hAnsi="Cambria"/>
                <w:sz w:val="20"/>
                <w:szCs w:val="20"/>
                <w:highlight w:val="yellow"/>
              </w:rPr>
              <w:t>Fondo para la Vida y la Biodiversidad</w:t>
            </w:r>
            <w:r w:rsidRPr="002003F0">
              <w:rPr>
                <w:rFonts w:ascii="Cambria" w:hAnsi="Cambria"/>
                <w:sz w:val="20"/>
                <w:szCs w:val="20"/>
              </w:rPr>
              <w:t>, así como el nombramiento del consejo directivo, estará a cargo del Ministro de Ambiente y Desarrollo Sostenible, o quien este delegue.</w:t>
            </w:r>
          </w:p>
        </w:tc>
      </w:tr>
    </w:tbl>
    <w:p w:rsidR="004E245C" w:rsidRDefault="004E245C"/>
    <w:p w:rsidR="004E245C" w:rsidRDefault="004E245C"/>
    <w:p w:rsidR="004E245C" w:rsidRPr="00497C51" w:rsidRDefault="00497C51" w:rsidP="00497C51">
      <w:pPr>
        <w:jc w:val="both"/>
        <w:rPr>
          <w:rFonts w:ascii="Calibri" w:hAnsi="Calibri"/>
          <w:b/>
          <w:color w:val="FF0000"/>
          <w:lang w:val="es-ES"/>
        </w:rPr>
      </w:pPr>
      <w:r w:rsidRPr="00497C51">
        <w:rPr>
          <w:rFonts w:ascii="Calibri" w:hAnsi="Calibri"/>
          <w:b/>
          <w:color w:val="FF0000"/>
          <w:lang w:val="es-ES"/>
        </w:rPr>
        <w:t>Decreto-Ley 927 de  junio 7 de 2023 Por el cual se modifica el Sistema Específico de Carrera de los empleados públicos de la Unidad Administrativa Especial -DIAN y la regulación de la administración y gestión de su talento humano</w:t>
      </w:r>
    </w:p>
    <w:tbl>
      <w:tblPr>
        <w:tblStyle w:val="Tablaconcuadrcula"/>
        <w:tblW w:w="0" w:type="auto"/>
        <w:tblLook w:val="04A0" w:firstRow="1" w:lastRow="0" w:firstColumn="1" w:lastColumn="0" w:noHBand="0" w:noVBand="1"/>
      </w:tblPr>
      <w:tblGrid>
        <w:gridCol w:w="4414"/>
        <w:gridCol w:w="4414"/>
      </w:tblGrid>
      <w:tr w:rsidR="004E245C" w:rsidRPr="0065720A" w:rsidTr="0092734A">
        <w:tc>
          <w:tcPr>
            <w:tcW w:w="4414" w:type="dxa"/>
          </w:tcPr>
          <w:p w:rsidR="004E245C" w:rsidRPr="001D7901" w:rsidRDefault="004E245C" w:rsidP="0092734A">
            <w:pPr>
              <w:jc w:val="center"/>
              <w:rPr>
                <w:rFonts w:ascii="Cambria" w:hAnsi="Cambria"/>
                <w:b/>
                <w:bCs/>
                <w:sz w:val="20"/>
                <w:szCs w:val="20"/>
              </w:rPr>
            </w:pPr>
            <w:r w:rsidRPr="001D7901">
              <w:rPr>
                <w:rFonts w:ascii="Cambria" w:hAnsi="Cambria"/>
                <w:b/>
                <w:bCs/>
                <w:sz w:val="20"/>
                <w:szCs w:val="20"/>
              </w:rPr>
              <w:t>Versión anterior de la norma</w:t>
            </w:r>
          </w:p>
        </w:tc>
        <w:tc>
          <w:tcPr>
            <w:tcW w:w="4414" w:type="dxa"/>
          </w:tcPr>
          <w:p w:rsidR="004E245C" w:rsidRPr="001D7901" w:rsidRDefault="004E245C" w:rsidP="0092734A">
            <w:pPr>
              <w:jc w:val="center"/>
              <w:rPr>
                <w:rFonts w:ascii="Cambria" w:hAnsi="Cambria"/>
                <w:b/>
                <w:bCs/>
                <w:sz w:val="20"/>
                <w:szCs w:val="20"/>
              </w:rPr>
            </w:pPr>
            <w:r w:rsidRPr="001D7901">
              <w:rPr>
                <w:rFonts w:ascii="Cambria" w:hAnsi="Cambria"/>
                <w:b/>
                <w:bCs/>
                <w:sz w:val="20"/>
                <w:szCs w:val="20"/>
              </w:rPr>
              <w:t>Nueva versión con que quedaría la norma</w:t>
            </w:r>
          </w:p>
        </w:tc>
      </w:tr>
      <w:tr w:rsidR="004E245C" w:rsidTr="0092734A">
        <w:tc>
          <w:tcPr>
            <w:tcW w:w="4414" w:type="dxa"/>
          </w:tcPr>
          <w:p w:rsidR="004E245C" w:rsidRDefault="00497C51" w:rsidP="00497C51">
            <w:pPr>
              <w:jc w:val="both"/>
              <w:rPr>
                <w:rFonts w:ascii="Cambria" w:hAnsi="Cambria"/>
                <w:sz w:val="20"/>
                <w:szCs w:val="20"/>
              </w:rPr>
            </w:pPr>
            <w:bookmarkStart w:id="67" w:name="34"/>
            <w:r w:rsidRPr="00497C51">
              <w:rPr>
                <w:rFonts w:ascii="Cambria" w:hAnsi="Cambria"/>
                <w:b/>
                <w:bCs/>
                <w:color w:val="000000" w:themeColor="text1"/>
                <w:sz w:val="20"/>
                <w:szCs w:val="20"/>
              </w:rPr>
              <w:t xml:space="preserve">Artículo 34. Periodicidad de </w:t>
            </w:r>
            <w:r>
              <w:rPr>
                <w:rFonts w:ascii="Cambria" w:hAnsi="Cambria"/>
                <w:b/>
                <w:bCs/>
                <w:color w:val="000000" w:themeColor="text1"/>
                <w:sz w:val="20"/>
                <w:szCs w:val="20"/>
              </w:rPr>
              <w:t>l</w:t>
            </w:r>
            <w:r w:rsidRPr="00497C51">
              <w:rPr>
                <w:rFonts w:ascii="Cambria" w:hAnsi="Cambria"/>
                <w:b/>
                <w:bCs/>
                <w:color w:val="000000" w:themeColor="text1"/>
                <w:sz w:val="20"/>
                <w:szCs w:val="20"/>
              </w:rPr>
              <w:t>os concursos.</w:t>
            </w:r>
            <w:bookmarkEnd w:id="67"/>
            <w:r w:rsidRPr="00497C51">
              <w:rPr>
                <w:rFonts w:ascii="Cambria" w:hAnsi="Cambria"/>
                <w:color w:val="000000" w:themeColor="text1"/>
                <w:sz w:val="20"/>
                <w:szCs w:val="20"/>
              </w:rPr>
              <w:t> </w:t>
            </w:r>
            <w:r w:rsidRPr="00497C51">
              <w:rPr>
                <w:rFonts w:ascii="Cambria" w:hAnsi="Cambria"/>
                <w:sz w:val="20"/>
                <w:szCs w:val="20"/>
                <w:highlight w:val="yellow"/>
              </w:rPr>
              <w:t>Cada año se deberá convocar a concurso para la provisión definitiva de los empleos de la planta de personal de la Entidad</w:t>
            </w:r>
            <w:r w:rsidRPr="00497C51">
              <w:rPr>
                <w:rFonts w:ascii="Cambria" w:hAnsi="Cambria"/>
                <w:sz w:val="20"/>
                <w:szCs w:val="20"/>
              </w:rPr>
              <w:t>.</w:t>
            </w:r>
          </w:p>
          <w:p w:rsidR="00497C51" w:rsidRPr="00497C51" w:rsidRDefault="00497C51" w:rsidP="00497C51">
            <w:pPr>
              <w:jc w:val="both"/>
              <w:rPr>
                <w:rFonts w:ascii="Cambria" w:hAnsi="Cambria"/>
                <w:sz w:val="20"/>
                <w:szCs w:val="20"/>
                <w:lang w:val="es-ES"/>
              </w:rPr>
            </w:pPr>
          </w:p>
        </w:tc>
        <w:tc>
          <w:tcPr>
            <w:tcW w:w="4414" w:type="dxa"/>
          </w:tcPr>
          <w:p w:rsidR="00497C51" w:rsidRPr="00497C51" w:rsidRDefault="00497C51" w:rsidP="00497C51">
            <w:pPr>
              <w:jc w:val="both"/>
              <w:rPr>
                <w:rFonts w:ascii="Cambria" w:hAnsi="Cambria"/>
                <w:sz w:val="20"/>
                <w:szCs w:val="20"/>
                <w:highlight w:val="yellow"/>
              </w:rPr>
            </w:pPr>
            <w:r w:rsidRPr="00497C51">
              <w:rPr>
                <w:rFonts w:ascii="Cambria" w:hAnsi="Cambria"/>
                <w:b/>
                <w:bCs/>
                <w:sz w:val="20"/>
                <w:szCs w:val="20"/>
              </w:rPr>
              <w:t>Artículo 34. Periodicidad de los concursos</w:t>
            </w:r>
            <w:r>
              <w:rPr>
                <w:rFonts w:ascii="Cambria" w:hAnsi="Cambria"/>
                <w:b/>
                <w:bCs/>
                <w:sz w:val="20"/>
                <w:szCs w:val="20"/>
              </w:rPr>
              <w:t xml:space="preserve"> </w:t>
            </w:r>
            <w:r w:rsidRPr="00C742BB">
              <w:rPr>
                <w:rFonts w:ascii="Cambria" w:hAnsi="Cambria"/>
                <w:b/>
                <w:bCs/>
                <w:color w:val="FF0000"/>
                <w:sz w:val="20"/>
                <w:szCs w:val="20"/>
              </w:rPr>
              <w:t xml:space="preserve">(modificado con artículo </w:t>
            </w:r>
            <w:r>
              <w:rPr>
                <w:rFonts w:ascii="Cambria" w:hAnsi="Cambria"/>
                <w:b/>
                <w:bCs/>
                <w:color w:val="FF0000"/>
                <w:sz w:val="20"/>
                <w:szCs w:val="20"/>
              </w:rPr>
              <w:t>81</w:t>
            </w:r>
            <w:r w:rsidRPr="00C742BB">
              <w:rPr>
                <w:rFonts w:ascii="Cambria" w:hAnsi="Cambria"/>
                <w:b/>
                <w:bCs/>
                <w:color w:val="FF0000"/>
                <w:sz w:val="20"/>
                <w:szCs w:val="20"/>
              </w:rPr>
              <w:t xml:space="preserve"> proyecto de </w:t>
            </w:r>
            <w:r w:rsidR="00852E78">
              <w:rPr>
                <w:rFonts w:ascii="Cambria" w:hAnsi="Cambria"/>
                <w:b/>
                <w:bCs/>
                <w:color w:val="FF0000"/>
                <w:sz w:val="20"/>
                <w:szCs w:val="20"/>
              </w:rPr>
              <w:t>Ley septiembre de 2025</w:t>
            </w:r>
            <w:r w:rsidRPr="00C742BB">
              <w:rPr>
                <w:rFonts w:ascii="Cambria" w:hAnsi="Cambria"/>
                <w:b/>
                <w:bCs/>
                <w:color w:val="FF0000"/>
                <w:sz w:val="20"/>
                <w:szCs w:val="20"/>
              </w:rPr>
              <w:t>).</w:t>
            </w:r>
            <w:r w:rsidRPr="00497C51">
              <w:rPr>
                <w:rFonts w:ascii="Cambria" w:hAnsi="Cambria"/>
                <w:b/>
                <w:bCs/>
                <w:sz w:val="20"/>
                <w:szCs w:val="20"/>
              </w:rPr>
              <w:t xml:space="preserve">. </w:t>
            </w:r>
            <w:r w:rsidRPr="00497C51">
              <w:rPr>
                <w:rFonts w:ascii="Cambria" w:hAnsi="Cambria"/>
                <w:sz w:val="20"/>
                <w:szCs w:val="20"/>
                <w:highlight w:val="yellow"/>
              </w:rPr>
              <w:t xml:space="preserve">Los concursos de méritos para la provisión de los empleos de carrera administrativa de la DIAN serán convocados de manera progresiva, atendiendo las necesidades del servicio, el análisis de la existencia de listas de elegibles vigentes y la disponibilidad presupuestal. </w:t>
            </w:r>
          </w:p>
          <w:p w:rsidR="00497C51" w:rsidRPr="00497C51" w:rsidRDefault="00497C51" w:rsidP="00497C51">
            <w:pPr>
              <w:jc w:val="both"/>
              <w:rPr>
                <w:rFonts w:ascii="Cambria" w:hAnsi="Cambria"/>
                <w:b/>
                <w:bCs/>
                <w:sz w:val="20"/>
                <w:szCs w:val="20"/>
                <w:highlight w:val="yellow"/>
              </w:rPr>
            </w:pPr>
          </w:p>
          <w:p w:rsidR="004E245C" w:rsidRDefault="00497C51" w:rsidP="00497C51">
            <w:pPr>
              <w:jc w:val="both"/>
              <w:rPr>
                <w:rFonts w:ascii="Cambria" w:hAnsi="Cambria"/>
                <w:sz w:val="20"/>
                <w:szCs w:val="20"/>
              </w:rPr>
            </w:pPr>
            <w:r w:rsidRPr="00497C51">
              <w:rPr>
                <w:rFonts w:ascii="Cambria" w:hAnsi="Cambria"/>
                <w:b/>
                <w:bCs/>
                <w:sz w:val="20"/>
                <w:szCs w:val="20"/>
                <w:highlight w:val="yellow"/>
              </w:rPr>
              <w:t xml:space="preserve">Parágrafo Transitorio. Impacto de la modernización de la DIAN. </w:t>
            </w:r>
            <w:r w:rsidRPr="00497C51">
              <w:rPr>
                <w:rFonts w:ascii="Cambria" w:hAnsi="Cambria"/>
                <w:sz w:val="20"/>
                <w:szCs w:val="20"/>
                <w:highlight w:val="yellow"/>
              </w:rPr>
              <w:t>En la planeación y ejecución de los concursos de méritos deberá tenerse en cuenta el programa de modernización de la Dirección de Impuestos y Aduanas Nacionales. Una vez implementado el Programa de Apoyo a la Modernización de la DIAN se deberá realizar la revisión del modelo de operación de la Entidad, sus procesos, procedimientos, cargas de trabajo y actualización del manual específico de funciones y requisitos aplicables a los empleos de la planta de personal</w:t>
            </w:r>
            <w:r w:rsidRPr="00497C51">
              <w:rPr>
                <w:rFonts w:ascii="Cambria" w:hAnsi="Cambria"/>
                <w:sz w:val="20"/>
                <w:szCs w:val="20"/>
              </w:rPr>
              <w:t>.</w:t>
            </w:r>
          </w:p>
          <w:p w:rsidR="00497C51" w:rsidRPr="00497C51" w:rsidRDefault="00497C51" w:rsidP="00497C51">
            <w:pPr>
              <w:jc w:val="both"/>
              <w:rPr>
                <w:rFonts w:ascii="Cambria" w:hAnsi="Cambria"/>
                <w:sz w:val="20"/>
                <w:szCs w:val="20"/>
                <w:lang w:val="es-ES"/>
              </w:rPr>
            </w:pPr>
          </w:p>
        </w:tc>
      </w:tr>
      <w:tr w:rsidR="004E245C" w:rsidTr="0092734A">
        <w:tc>
          <w:tcPr>
            <w:tcW w:w="4414" w:type="dxa"/>
          </w:tcPr>
          <w:p w:rsidR="004E245C" w:rsidRPr="001D7901" w:rsidRDefault="004E245C" w:rsidP="0092734A">
            <w:pPr>
              <w:rPr>
                <w:sz w:val="20"/>
                <w:szCs w:val="20"/>
                <w:lang w:val="es-ES"/>
              </w:rPr>
            </w:pPr>
          </w:p>
        </w:tc>
        <w:tc>
          <w:tcPr>
            <w:tcW w:w="4414" w:type="dxa"/>
          </w:tcPr>
          <w:p w:rsidR="004E245C" w:rsidRPr="001D7901" w:rsidRDefault="004E245C" w:rsidP="0092734A">
            <w:pPr>
              <w:rPr>
                <w:sz w:val="20"/>
                <w:szCs w:val="20"/>
                <w:lang w:val="es-ES"/>
              </w:rPr>
            </w:pPr>
          </w:p>
        </w:tc>
      </w:tr>
    </w:tbl>
    <w:p w:rsidR="004E245C" w:rsidRDefault="004E245C"/>
    <w:p w:rsidR="004E245C" w:rsidRDefault="004E245C"/>
    <w:p w:rsidR="004E245C" w:rsidRDefault="005B386C" w:rsidP="004E245C">
      <w:r w:rsidRPr="005B386C">
        <w:rPr>
          <w:rFonts w:ascii="Calibri" w:hAnsi="Calibri"/>
          <w:b/>
          <w:color w:val="FF0000"/>
          <w:lang w:val="es-ES"/>
        </w:rPr>
        <w:t xml:space="preserve">Normas autónomas contenidas dentro del proyecto de </w:t>
      </w:r>
      <w:r w:rsidR="00FB60A2">
        <w:rPr>
          <w:rFonts w:ascii="Calibri" w:hAnsi="Calibri"/>
          <w:b/>
          <w:color w:val="FF0000"/>
          <w:lang w:val="es-ES"/>
        </w:rPr>
        <w:t>Ley de septiembre de 2025</w:t>
      </w:r>
    </w:p>
    <w:p w:rsidR="005B386C" w:rsidRDefault="005B386C" w:rsidP="004E245C"/>
    <w:tbl>
      <w:tblPr>
        <w:tblStyle w:val="Tablaconcuadrcula"/>
        <w:tblW w:w="0" w:type="auto"/>
        <w:tblLook w:val="04A0" w:firstRow="1" w:lastRow="0" w:firstColumn="1" w:lastColumn="0" w:noHBand="0" w:noVBand="1"/>
      </w:tblPr>
      <w:tblGrid>
        <w:gridCol w:w="8784"/>
      </w:tblGrid>
      <w:tr w:rsidR="005B386C" w:rsidRPr="0065720A" w:rsidTr="005B386C">
        <w:trPr>
          <w:tblHeader/>
        </w:trPr>
        <w:tc>
          <w:tcPr>
            <w:tcW w:w="8784" w:type="dxa"/>
          </w:tcPr>
          <w:p w:rsidR="005B386C" w:rsidRPr="001D7901" w:rsidRDefault="005B386C" w:rsidP="005B386C">
            <w:pPr>
              <w:jc w:val="center"/>
              <w:rPr>
                <w:rFonts w:ascii="Cambria" w:hAnsi="Cambria"/>
                <w:b/>
                <w:bCs/>
                <w:sz w:val="20"/>
                <w:szCs w:val="20"/>
              </w:rPr>
            </w:pPr>
            <w:r>
              <w:rPr>
                <w:rFonts w:ascii="Cambria" w:hAnsi="Cambria"/>
                <w:b/>
                <w:bCs/>
                <w:sz w:val="20"/>
                <w:szCs w:val="20"/>
              </w:rPr>
              <w:lastRenderedPageBreak/>
              <w:t>Texto de la norma</w:t>
            </w:r>
          </w:p>
        </w:tc>
      </w:tr>
      <w:tr w:rsidR="005B386C" w:rsidTr="005B386C">
        <w:trPr>
          <w:trHeight w:val="2612"/>
        </w:trPr>
        <w:tc>
          <w:tcPr>
            <w:tcW w:w="8784" w:type="dxa"/>
          </w:tcPr>
          <w:p w:rsidR="005B386C" w:rsidRPr="005B386C" w:rsidRDefault="005B386C" w:rsidP="005B386C">
            <w:pPr>
              <w:jc w:val="both"/>
              <w:rPr>
                <w:rFonts w:ascii="Cambria" w:hAnsi="Cambria" w:cs="Aptos"/>
                <w:sz w:val="20"/>
                <w:szCs w:val="20"/>
                <w:highlight w:val="yellow"/>
              </w:rPr>
            </w:pPr>
            <w:r w:rsidRPr="005B386C">
              <w:rPr>
                <w:rFonts w:ascii="Cambria" w:hAnsi="Cambria"/>
                <w:b/>
                <w:bCs/>
                <w:sz w:val="20"/>
                <w:szCs w:val="20"/>
                <w:highlight w:val="yellow"/>
              </w:rPr>
              <w:t xml:space="preserve">Artículo 8. Plazo máximo para remarcar los precios. </w:t>
            </w:r>
            <w:r w:rsidRPr="005B386C">
              <w:rPr>
                <w:rFonts w:ascii="Cambria" w:hAnsi="Cambria"/>
                <w:sz w:val="20"/>
                <w:szCs w:val="20"/>
                <w:highlight w:val="yellow"/>
              </w:rPr>
              <w:t xml:space="preserve">Para la aplicación de las modificaciones al impuesto sobre las ventas por cambio en la tarifa, cuando se trate de establecimientos de comercio con venta directa al público de mercancías </w:t>
            </w:r>
            <w:proofErr w:type="spellStart"/>
            <w:r w:rsidRPr="005B386C">
              <w:rPr>
                <w:rFonts w:ascii="Cambria" w:hAnsi="Cambria"/>
                <w:sz w:val="20"/>
                <w:szCs w:val="20"/>
                <w:highlight w:val="yellow"/>
              </w:rPr>
              <w:t>premarcadas</w:t>
            </w:r>
            <w:proofErr w:type="spellEnd"/>
            <w:r w:rsidRPr="005B386C">
              <w:rPr>
                <w:rFonts w:ascii="Cambria" w:hAnsi="Cambria"/>
                <w:sz w:val="20"/>
                <w:szCs w:val="20"/>
                <w:highlight w:val="yellow"/>
              </w:rPr>
              <w:t xml:space="preserve"> directamente o en góndola existentes en mostradores, podrán venderse con el precio de </w:t>
            </w:r>
            <w:r w:rsidRPr="005B386C">
              <w:rPr>
                <w:rFonts w:ascii="Cambria" w:hAnsi="Cambria" w:cs="Aptos"/>
                <w:sz w:val="20"/>
                <w:szCs w:val="20"/>
                <w:highlight w:val="yellow"/>
              </w:rPr>
              <w:t xml:space="preserve">4 </w:t>
            </w:r>
          </w:p>
          <w:p w:rsidR="005B386C" w:rsidRPr="005B386C" w:rsidRDefault="005B386C" w:rsidP="005B386C">
            <w:pPr>
              <w:jc w:val="both"/>
              <w:rPr>
                <w:rFonts w:ascii="Cambria" w:hAnsi="Cambria" w:cstheme="minorBidi"/>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venta al público ya fijado, de conformidad con las disposiciones del impuesto sobre las ventas aplicables antes de la entrada en vigencia de la presente Ley, hasta agotar su existencia. Esta misma regla es aplicable para los distribuidores minoristas de combustibles derivados del petróleo. </w:t>
            </w: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En todo caso, a partir del 1 de febrero de 2026 todo bien y servicio ofrecido al público deberá cumplir con las modificaciones establecidas en la presente ley. </w:t>
            </w:r>
          </w:p>
          <w:p w:rsidR="005B386C" w:rsidRPr="005B386C" w:rsidRDefault="005B386C" w:rsidP="005B386C">
            <w:pPr>
              <w:jc w:val="both"/>
              <w:rPr>
                <w:rFonts w:ascii="Cambria" w:hAnsi="Cambria"/>
                <w:sz w:val="20"/>
                <w:szCs w:val="20"/>
                <w:highlight w:val="yellow"/>
                <w:lang w:val="es-ES"/>
              </w:rPr>
            </w:pPr>
          </w:p>
        </w:tc>
      </w:tr>
      <w:tr w:rsidR="005B386C" w:rsidTr="005B386C">
        <w:tc>
          <w:tcPr>
            <w:tcW w:w="8784" w:type="dxa"/>
          </w:tcPr>
          <w:p w:rsidR="005B386C" w:rsidRDefault="005B386C" w:rsidP="005B386C">
            <w:pPr>
              <w:jc w:val="both"/>
              <w:rPr>
                <w:rFonts w:ascii="Cambria" w:hAnsi="Cambria"/>
                <w:sz w:val="20"/>
                <w:szCs w:val="20"/>
                <w:highlight w:val="yellow"/>
              </w:rPr>
            </w:pPr>
            <w:r w:rsidRPr="005B386C">
              <w:rPr>
                <w:rFonts w:ascii="Cambria" w:hAnsi="Cambria"/>
                <w:b/>
                <w:bCs/>
                <w:color w:val="000000" w:themeColor="text1"/>
                <w:sz w:val="20"/>
                <w:szCs w:val="20"/>
                <w:highlight w:val="yellow"/>
              </w:rPr>
              <w:t>Artículo 82. Reducción transitoria de sanciones e intereses moratorios para los sujetos de obligaciones tributarias, aduaneras y cambiarias administrados por la Unidad Administrativa Especial Dirección de Impuestos y Aduanas</w:t>
            </w:r>
            <w:r w:rsidRPr="005B386C">
              <w:rPr>
                <w:rFonts w:ascii="Cambria" w:hAnsi="Cambria"/>
                <w:sz w:val="20"/>
                <w:szCs w:val="20"/>
                <w:highlight w:val="yellow"/>
              </w:rPr>
              <w:t xml:space="preserve"> </w:t>
            </w:r>
            <w:r w:rsidRPr="005B386C">
              <w:rPr>
                <w:rFonts w:ascii="Cambria" w:hAnsi="Cambria" w:cstheme="minorBidi"/>
                <w:b/>
                <w:bCs/>
                <w:sz w:val="20"/>
                <w:szCs w:val="20"/>
                <w:highlight w:val="yellow"/>
              </w:rPr>
              <w:t>Nacionales -DIAN.</w:t>
            </w:r>
            <w:r w:rsidRPr="005B386C">
              <w:rPr>
                <w:rFonts w:ascii="Cambria" w:hAnsi="Cambria" w:cstheme="minorBidi"/>
                <w:sz w:val="20"/>
                <w:szCs w:val="20"/>
                <w:highlight w:val="yellow"/>
              </w:rPr>
              <w:t xml:space="preserve"> </w:t>
            </w:r>
            <w:r w:rsidRPr="005B386C">
              <w:rPr>
                <w:rFonts w:ascii="Cambria" w:hAnsi="Cambria"/>
                <w:sz w:val="20"/>
                <w:szCs w:val="20"/>
                <w:highlight w:val="yellow"/>
              </w:rPr>
              <w:t xml:space="preserve">Las obligaciones tributarias, aduaneras y cambiarias administradas por la Unidad Administrativa Especial Dirección de Impuestos y Aduanas Nacionales - DIAN que se encuentren en mora en el pago a treinta y uno (31) de diciembre de 2024, se podrán reducir las sanciones, actualización de sanciones e intereses, con pago total desde la fecha de vigencia de la presente ley y hasta el treinta y uno (31) de marzo del año 2026, cumpliendo los siguientes requisitos: </w:t>
            </w:r>
          </w:p>
          <w:p w:rsidR="005B386C" w:rsidRP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1. Pago del 100% de la obligación tributaria, aduanera o cambiaria.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2. Pago de los intereses moratorios. Los intereses serán del 20 % de la tasa de interés bancario corriente de que trata el artículo 635 del Estatuto Tributario hasta el 20 de diciembre de 2025 o 50% de la tasa de interés bancario corriente de que trata el artículo 635 del Estatuto Tributario hasta el 31 de marzo de 2026. </w:t>
            </w:r>
          </w:p>
          <w:p w:rsid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3. Pago del quince por ciento (15%) de las sanciones y actualización de sanciones si se realiza hasta el 20 de diciembre de 2025 o cuarenta por ciento (40%) si se realiza hasta el 31 de marzo de 2026.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La sanción por pagar no podrá ser inferior a la sanción mínima vigente del año gravable en que fue liquidada.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1. Los títulos de que trata el artículo 828 del Estatuto Tributario que correspondan a actos administrativos en los cuales se haya determinado una sanción, podrán ser objeto de cancelación conforme lo dispuesto en este artículo, verificando los requisitos que le sean pertinentes.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2. Para los efectos de este artículo, no se acepta como medios de pago los títulos de depósito judicial, compensaciones o cruce de cuentas de conformidad con el artículo 196 de la Ley 1607 de 2012.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3. Los contribuyentes que a la entrada de vigencia de la presente ley tenga una facilidad o acuerdo de pago vigente, podrán acogerse a lo previsto en este artículo, sobre los saldos insolutos. </w:t>
            </w:r>
          </w:p>
          <w:p w:rsid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4. Para las obligaciones pendientes de pago relacionadas con la omisión del agente retenedor o recaudador de que trata el artículo 402 de la ley 599 de 2000 cuya cuantía sea inferior o igual a 100 UVT, se debe agotar el procedimiento administrativo de cobro y no serán objeto de denuncia penal por parte de la DIAN; lo anterior sin perjuicio de acogerse a la condición especial de pago de que trata el presente artículo en esos términos. Lo aquí previsto no está sometido al término indicado en el presente artículo. </w:t>
            </w:r>
          </w:p>
          <w:p w:rsidR="005B386C" w:rsidRPr="005B386C" w:rsidRDefault="005B386C" w:rsidP="005B386C">
            <w:pPr>
              <w:jc w:val="both"/>
              <w:rPr>
                <w:rFonts w:ascii="Cambria" w:hAnsi="Cambria"/>
                <w:sz w:val="20"/>
                <w:szCs w:val="20"/>
                <w:highlight w:val="yellow"/>
                <w:lang w:val="es-ES"/>
              </w:rPr>
            </w:pPr>
          </w:p>
        </w:tc>
      </w:tr>
      <w:tr w:rsidR="005B386C" w:rsidTr="005B386C">
        <w:tc>
          <w:tcPr>
            <w:tcW w:w="8784" w:type="dxa"/>
          </w:tcPr>
          <w:p w:rsidR="005B386C" w:rsidRPr="005B386C" w:rsidRDefault="005B386C" w:rsidP="005B386C">
            <w:pPr>
              <w:jc w:val="both"/>
              <w:rPr>
                <w:rFonts w:ascii="Cambria" w:hAnsi="Cambria"/>
                <w:sz w:val="20"/>
                <w:szCs w:val="20"/>
                <w:highlight w:val="yellow"/>
              </w:rPr>
            </w:pPr>
            <w:r w:rsidRPr="005B386C">
              <w:rPr>
                <w:rFonts w:ascii="Cambria" w:hAnsi="Cambria"/>
                <w:b/>
                <w:bCs/>
                <w:sz w:val="20"/>
                <w:szCs w:val="20"/>
                <w:highlight w:val="yellow"/>
              </w:rPr>
              <w:t>Artículo 83. Reducción transitoria de sanciones e intereses moratorios por omisión o corrección de declaraciones tributarias, aduaneras, cambiarias y obligaciones formales</w:t>
            </w:r>
            <w:r w:rsidRPr="005B386C">
              <w:rPr>
                <w:rFonts w:ascii="Cambria" w:hAnsi="Cambria"/>
                <w:sz w:val="20"/>
                <w:szCs w:val="20"/>
                <w:highlight w:val="yellow"/>
              </w:rPr>
              <w:t xml:space="preserve">. Se crean las siguientes medidas: </w:t>
            </w:r>
          </w:p>
          <w:p w:rsidR="00A45FD7" w:rsidRDefault="00A45FD7" w:rsidP="005B386C">
            <w:pPr>
              <w:jc w:val="both"/>
              <w:rPr>
                <w:rFonts w:ascii="Cambria" w:hAnsi="Cambria"/>
                <w:sz w:val="20"/>
                <w:szCs w:val="20"/>
                <w:highlight w:val="yellow"/>
              </w:rPr>
            </w:pPr>
          </w:p>
          <w:p w:rsidR="005B386C" w:rsidRPr="005B386C" w:rsidRDefault="005B386C" w:rsidP="005B386C">
            <w:pPr>
              <w:jc w:val="both"/>
              <w:rPr>
                <w:rFonts w:ascii="Cambria" w:hAnsi="Cambria" w:cs="Aptos"/>
                <w:sz w:val="20"/>
                <w:szCs w:val="20"/>
                <w:highlight w:val="yellow"/>
              </w:rPr>
            </w:pPr>
            <w:r w:rsidRPr="005B386C">
              <w:rPr>
                <w:rFonts w:ascii="Cambria" w:hAnsi="Cambria"/>
                <w:sz w:val="20"/>
                <w:szCs w:val="20"/>
                <w:highlight w:val="yellow"/>
              </w:rPr>
              <w:t xml:space="preserve">1. Cuando el contribuyente haya omitido la presentación de las declaraciones tributarias a treinta (30) de noviembre de 2025 y antes, se podrá reducir la sanción por extemporaneidad, si el obligado presenta la declaración a más tardar el treinta (30) de abril del año 2026, liquidando en la respectiva declaración la correspondiente sanción por extemporaneidad según sea el caso, reducida al quince por ciento (15%), acompañada con el pago total de los impuestos o retenciones, a que haya lugar y la sanción reducida, sin que se requiera liquidar y pagar los intereses de mora. </w:t>
            </w:r>
          </w:p>
          <w:p w:rsidR="005B386C" w:rsidRPr="005B386C" w:rsidRDefault="005B386C" w:rsidP="005B386C">
            <w:pPr>
              <w:jc w:val="both"/>
              <w:rPr>
                <w:rFonts w:ascii="Cambria" w:hAnsi="Cambria" w:cstheme="minorBidi"/>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2. Cuando el contribuyente corrija la declaración tributaria, aduanera y cambiaria, podrá reducir las sanciones asociadas a las declaraciones de los impuestos administrados por la Unidad Administrativa Especial Dirección de Impuestos y Aduanas Nacionales -DIAN, que correspondan a declaraciones tributarias a treinta y uno (31) de diciembre de 2024 y anteriores, en las cuales se incremente el valor a pagar o se disminuya el saldo a favor o se disminuyan las pérdidas líquidas siempre que el obligado presente la declaración de corrección a más tardar el veinte (20) de diciembre del año 2025, liquidando la correspondiente sanción por corrección o inexactitud según sea el caso reducida al quince por ciento (15%) o, cuarenta por ciento (40%) si se realiza hasta el 31 de marzo de 2026, acompañada con el pago total de los impuestos o aranceles, a que haya lugar y la sanción reducida, sin que se requiera liquidar y pagar los intereses de mora.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3. Cuando el contribuyente, haya incumplido la presentación de obligaciones formales a treinta y uno (31) de diciembre de 2024 y anteriores, podrá reducir la sanción, pagando la correspondiente sanción reducida al quince por ciento (15%) y cumpliendo con la respectiva obligación formal, a más tardar el veinte (20) de diciembre del año 2025 o cuarenta por ciento (40%) si se realiza hasta el 31 de marzo de 2026. Esta misma disposición aplica para obligaciones cambiarias incumplidas. </w:t>
            </w:r>
          </w:p>
          <w:p w:rsid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1. Lo previsto en el presente artículo aplica para las obligaciones tributarias, aduaneras y cambiarias que estén en discusión ante la administración tributaria respecto de las cuales no se haya notificado la resolución que resuelve el recurso de reconsideración.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Cuando el contribuyente se acoja a los beneficios previsto en este artículo, se entienden aceptados los hechos y valores propuestos. Para tal fin se deberá informar antes del veinte (20) de diciembre de 2025 por escrito a la Unidad Administrativa Especial Dirección de Impuestos y Aduanas Nacionales -DIAN el cumplimiento de los requisitos de este artículo y la aceptación total de las glosas planteadas.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El área de la Unidad Administrativa Especial Dirección de Impuestos y Aduanas Nacionales -DIAN en donde se encuentre el proceso, verificará el cumplimiento de los requisitos previstos en este artículo y expedirá el acto administrativo que da por terminado el proceso.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Cuando el contribuyente incumpla con las condiciones aquí previstas, los procedimientos administrativos continuarán su curso, las declaraciones presentadas posteriormente no tendrán efecto legal alguno, sin acto administrativo que así lo declare y los dineros pagados serán retenidos por la administración hasta que el acto administrativo quede ejecutoriado.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2. Lo dispuesto en este artículo aplica para las obligaciones formales de precios de transferencia, incluida la declaración informativa.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3. La reducción de sanciones prevista en este artículo podrá ser concurrente con las demás reducciones de sanciones previstas en el Estatuto Tributario, que en todo caso no podrá ser inferior a la sanción mínima.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cs="Aptos"/>
                <w:sz w:val="20"/>
                <w:szCs w:val="20"/>
                <w:highlight w:val="yellow"/>
              </w:rPr>
            </w:pPr>
            <w:r w:rsidRPr="005B386C">
              <w:rPr>
                <w:rFonts w:ascii="Cambria" w:hAnsi="Cambria"/>
                <w:sz w:val="20"/>
                <w:szCs w:val="20"/>
                <w:highlight w:val="yellow"/>
              </w:rPr>
              <w:t xml:space="preserve">Parágrafo 4. Las reglas aquí previstas serán aplicables a los actos administrativos respecto de los cuales a 31 de julio de 2025 no haya operado la caducidad del medio de control de nulidad y el restablecimiento del derecho, en cuyo caso procederá la revocatoria de los actos administrativos por </w:t>
            </w:r>
            <w:r w:rsidRPr="005B386C">
              <w:rPr>
                <w:rFonts w:ascii="Cambria" w:hAnsi="Cambria"/>
                <w:sz w:val="20"/>
                <w:szCs w:val="20"/>
                <w:highlight w:val="yellow"/>
              </w:rPr>
              <w:lastRenderedPageBreak/>
              <w:t xml:space="preserve">la autoridad que lo haya expedido, siempre que se cumplan las condiciones previstas en este artículo y con fundamento en el mismo. </w:t>
            </w:r>
          </w:p>
          <w:p w:rsidR="005B386C" w:rsidRPr="005B386C" w:rsidRDefault="005B386C" w:rsidP="005B386C">
            <w:pPr>
              <w:jc w:val="both"/>
              <w:rPr>
                <w:rFonts w:ascii="Cambria" w:hAnsi="Cambria" w:cstheme="minorBidi"/>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Para tal fin se deberá informar antes del veinte (20) de diciembre de 2025 por escrito a la Unidad Administrativa Especial Dirección de Impuestos y Aduanas Nacionales -DIAN el cumplimiento de los requisitos de este artículo, la aceptación de todas las glosas planteadas, el pago de total del impuesto cuando haya lugar a ello, la sanción reducida al quince por ciento (15%) o el cuarenta (40%) según el caso y reintegro de las sumas compensadas o devueltas improcedentemente, sin que se requiera liquidar y pagar los intereses de mora. </w:t>
            </w:r>
          </w:p>
          <w:p w:rsidR="005B386C" w:rsidRP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5. Lo previsto en este artículo en los temas aduaneros, no aplica cuando se trate de mercancías sometidas a limitaciones, administrativas o legales. </w:t>
            </w:r>
          </w:p>
          <w:p w:rsidR="005B386C" w:rsidRPr="005B386C" w:rsidRDefault="005B386C" w:rsidP="005B386C">
            <w:pPr>
              <w:jc w:val="both"/>
              <w:rPr>
                <w:rFonts w:ascii="Cambria" w:hAnsi="Cambria"/>
                <w:sz w:val="20"/>
                <w:szCs w:val="20"/>
                <w:highlight w:val="yellow"/>
                <w:lang w:val="es-ES"/>
              </w:rPr>
            </w:pPr>
          </w:p>
        </w:tc>
      </w:tr>
      <w:tr w:rsidR="005B386C" w:rsidTr="005B386C">
        <w:tc>
          <w:tcPr>
            <w:tcW w:w="8784" w:type="dxa"/>
          </w:tcPr>
          <w:p w:rsidR="005B386C" w:rsidRDefault="005B386C" w:rsidP="005B386C">
            <w:pPr>
              <w:jc w:val="both"/>
              <w:rPr>
                <w:rFonts w:ascii="Cambria" w:hAnsi="Cambria"/>
                <w:sz w:val="20"/>
                <w:szCs w:val="20"/>
                <w:highlight w:val="yellow"/>
              </w:rPr>
            </w:pPr>
            <w:r w:rsidRPr="005B386C">
              <w:rPr>
                <w:rFonts w:ascii="Cambria" w:hAnsi="Cambria"/>
                <w:b/>
                <w:bCs/>
                <w:sz w:val="20"/>
                <w:szCs w:val="20"/>
                <w:highlight w:val="yellow"/>
              </w:rPr>
              <w:lastRenderedPageBreak/>
              <w:t>Artículo 84. Aplicación transitoria por incumplimiento de obligaciones formales</w:t>
            </w:r>
            <w:r w:rsidRPr="005B386C">
              <w:rPr>
                <w:rFonts w:ascii="Cambria" w:hAnsi="Cambria"/>
                <w:sz w:val="20"/>
                <w:szCs w:val="20"/>
                <w:highlight w:val="yellow"/>
              </w:rPr>
              <w:t xml:space="preserve">. El incumplimiento de obligaciones formales en materia tributaria, aduanera y cambiaria, que se hayan generado a la entrada en vigencia de la presente ley, podrán ser subsanadas siempre que se demuestre que al treinta (30) de abril de 2026, se haya realizado el pago del tres por ciento (3%) del valor de los ingresos brutos que figuren en la declaración del impuesto sobre la renta y complementarios o de ingresos y patrimonio, según sea el caso, del año gravable 2024. </w:t>
            </w:r>
          </w:p>
          <w:p w:rsidR="005B386C" w:rsidRP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Para los sujetos que no se encuentren obligados a presentar la declaración del impuesto sobre la renta y complementarios, conforme las disposiciones establecidas en el Estatuto Tributario podrán subsanar las faltas de que trata el presente artículo, siempre que demuestre que a treinta y uno (31) de marzo de 2026, haya realizado el pago del dos por ciento (2%) del valor del patrimonio bruto y/o activos totales poseídos a 31 de diciembre del año gravable 2025. </w:t>
            </w:r>
          </w:p>
          <w:p w:rsidR="005B386C" w:rsidRP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1. Lo dispuesto en este artículo no aplica para subsanar el incumplimiento del deber formal de declarar, ni obligaciones relacionadas con precios de transferencia. La subsanación de obligaciones formales no es una causal de aceptación de ingresos, costos, deducciones e impuestos descontables de las declaraciones tributarias.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2. La liquidación de la sanción prevista en el presente artículo aplica siempre que el sujeto que se acoja a la misma subsane la falta y se cumpla con la obligación formal para los casos en que el Estatuto Tributario lo exija.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Tratándose del reconocimiento voluntario del incumplimiento en relación con la omisión de la obligación formal de facturar, el sujeto deberá declarar las operaciones e impuestos a que haya lugar por esta omisión; así como la transmisión de las operaciones no facturadas o facturadas sin requisitos, conforme lo indique la DIAN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Parágrafo 3. Los contribuyentes que se acojan y cumplan con lo previsto en este artículo no podrán ser sancionados por incumplimiento de las obligaciones formales previstas en esta disposición. </w:t>
            </w:r>
          </w:p>
          <w:p w:rsid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Parágrafo 4. Lo previsto en este artículo en los temas aduaneros, no aplica cuando se trate de mercancías no presentadas, ni respecto de mercancías sometidas a limitaciones, administrativas o legales</w:t>
            </w:r>
          </w:p>
          <w:p w:rsidR="005B386C" w:rsidRPr="005B386C" w:rsidRDefault="005B386C" w:rsidP="005B386C">
            <w:pPr>
              <w:jc w:val="both"/>
              <w:rPr>
                <w:rFonts w:ascii="Cambria" w:hAnsi="Cambria"/>
                <w:sz w:val="20"/>
                <w:szCs w:val="20"/>
                <w:highlight w:val="yellow"/>
                <w:lang w:val="es-ES"/>
              </w:rPr>
            </w:pPr>
          </w:p>
        </w:tc>
      </w:tr>
      <w:tr w:rsidR="005B386C" w:rsidTr="005B386C">
        <w:tc>
          <w:tcPr>
            <w:tcW w:w="8784" w:type="dxa"/>
          </w:tcPr>
          <w:p w:rsidR="005B386C" w:rsidRPr="005B386C" w:rsidRDefault="005B386C" w:rsidP="005B386C">
            <w:pPr>
              <w:jc w:val="both"/>
              <w:rPr>
                <w:rFonts w:ascii="Cambria" w:hAnsi="Cambria" w:cs="Aptos"/>
                <w:sz w:val="20"/>
                <w:szCs w:val="20"/>
                <w:highlight w:val="yellow"/>
              </w:rPr>
            </w:pPr>
            <w:r w:rsidRPr="005B386C">
              <w:rPr>
                <w:rFonts w:ascii="Cambria" w:hAnsi="Cambria"/>
                <w:b/>
                <w:bCs/>
                <w:sz w:val="20"/>
                <w:szCs w:val="20"/>
                <w:highlight w:val="yellow"/>
              </w:rPr>
              <w:t xml:space="preserve">Artículo 85. Conciliación contencioso-administrativa en materia tributaria, aduanera y cambiaria. </w:t>
            </w:r>
            <w:r w:rsidRPr="005B386C">
              <w:rPr>
                <w:rFonts w:ascii="Cambria" w:hAnsi="Cambria"/>
                <w:sz w:val="20"/>
                <w:szCs w:val="20"/>
                <w:highlight w:val="yellow"/>
              </w:rPr>
              <w:t xml:space="preserve">Facúltese a la Dirección de Impuestos y Aduanas Nacionales -DIAN, para realizar conciliaciones en procesos contenciosos administrativos, en materia tributaria, aduanera y cambiaria de acuerdo con los siguientes términos y condiciones: </w:t>
            </w:r>
          </w:p>
          <w:p w:rsidR="005B386C" w:rsidRPr="005B386C" w:rsidRDefault="005B386C" w:rsidP="005B386C">
            <w:pPr>
              <w:jc w:val="both"/>
              <w:rPr>
                <w:rFonts w:ascii="Cambria" w:hAnsi="Cambria" w:cstheme="minorBidi"/>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Los contribuyentes, agentes de retención y responsables de los impuestos nacionales, los usuarios aduaneros y del régimen cambiario, que hayan interpuesto demanda de nulidad y restablecimiento </w:t>
            </w:r>
            <w:r w:rsidRPr="005B386C">
              <w:rPr>
                <w:rFonts w:ascii="Cambria" w:hAnsi="Cambria"/>
                <w:sz w:val="20"/>
                <w:szCs w:val="20"/>
                <w:highlight w:val="yellow"/>
              </w:rPr>
              <w:lastRenderedPageBreak/>
              <w:t xml:space="preserve">del derecho ante la jurisdicción de lo contencioso administrativo, podrán conciliar el valor de las sanciones e intereses según el caso, discutidos contra liquidaciones oficiales, mediante solicitud presentada ante la Dirección de Impuestos y Aduanas Nacionales – DIAN, así: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Por el ochenta y cinco (85%) del valor total de las sanciones y actualización según el caso e intereses al 4,5% anual, cuando el proceso contra una liquidación oficial se encuentre en única o primera instancia ante un Juzgado Administrativo o Tribunal Administrativo, siempre y cuando el demandante pague el ciento por ciento (100%) del impuesto en discusión y el quince por ciento (15%) del valor total de las sanciones y actualización e intereses a la tasa del 4,5% anual. </w:t>
            </w:r>
          </w:p>
          <w:p w:rsidR="005B386C" w:rsidRPr="005B386C" w:rsidRDefault="005B386C" w:rsidP="005B386C">
            <w:pPr>
              <w:jc w:val="both"/>
              <w:rPr>
                <w:rFonts w:ascii="Cambria" w:hAnsi="Cambria"/>
                <w:sz w:val="20"/>
                <w:szCs w:val="20"/>
                <w:highlight w:val="yellow"/>
              </w:rPr>
            </w:pPr>
            <w:r>
              <w:rPr>
                <w:rFonts w:ascii="Cambria" w:hAnsi="Cambria"/>
                <w:sz w:val="20"/>
                <w:szCs w:val="20"/>
                <w:highlight w:val="yellow"/>
              </w:rPr>
              <w:br/>
            </w:r>
            <w:r w:rsidRPr="005B386C">
              <w:rPr>
                <w:rFonts w:ascii="Cambria" w:hAnsi="Cambria"/>
                <w:sz w:val="20"/>
                <w:szCs w:val="20"/>
                <w:highlight w:val="yellow"/>
              </w:rPr>
              <w:t xml:space="preserve">Cuando el proceso contra una liquidación oficial se halle en segunda instancia ante el Tribunal Contencioso Administrativo o el Consejo de Estado según el caso, se podrá solicitar la conciliación por el ochenta por ciento (80%) del valor total de las sanciones y actualización según el caso e intereses al 4,5% anual, siempre y cuando el demandante pague el ciento por ciento (100%) del impuesto en discusión y el veinte por ciento (20%) del valor total de las sanciones, y actualización e intereses a la tasa del 4,5% anual. Se entenderá que el proceso se encuentra en segunda instancia cuando ha sido admitido el recurso de apelación interpuesto contra la sentencia de primera instancia.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Cuando el acto demandado se trate de una resolución o acto administrativo mediante el cual se imponga sanción dineraria de carácter tributario, aduanero o cambiario, en las que no hubiere impuestos o tributos en discusión, la conciliación operará respecto del ochenta por ciento (80%) de las sanciones actualizadas, para lo cual el obligado deberá pagar en los plazos y términos de esta ley, el veinte por ciento (20%) restante de la sanción actualizada.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En el caso de actos administrativos que impongan sanciones por concepto de devoluciones o compensaciones improcedentes, la conciliación operará respecto del setenta por ciento (70%) de las sanciones actualizadas, siempre y cuando el contribuyente pague el treinta por ciento (30%) restante de la sanción actualizada y reintegre la totalidad de las sumas devueltas o compensadas o imputadas en exceso y sus respectivos intereses en los plazos y términos de esta ley, intereses que se reducirán al treinta por ciento (30%).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Para efectos de la aplicación de este artículo, los contribuyentes, agentes de retención, declarantes, responsables y usuarios aduaneros o cambiarios, según se trate, deberán cumplir con los siguientes requisitos y condiciones: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1. Haber presentado la demanda antes del 31 de diciembre de 2025.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2. Que la demanda haya sido admitida antes de la presentación de la solicitud de conciliación ante la administración.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3. Que no exista sentencia o decisión judicial en firme que le ponga fin al respectivo proceso judicial.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cs="Aptos"/>
                <w:sz w:val="20"/>
                <w:szCs w:val="20"/>
                <w:highlight w:val="yellow"/>
              </w:rPr>
            </w:pPr>
            <w:r w:rsidRPr="005B386C">
              <w:rPr>
                <w:rFonts w:ascii="Cambria" w:hAnsi="Cambria"/>
                <w:sz w:val="20"/>
                <w:szCs w:val="20"/>
                <w:highlight w:val="yellow"/>
              </w:rPr>
              <w:t xml:space="preserve">4. Adjuntar prueba del pago, de las obligaciones objeto de conciliación de acuerdo con lo indicado en los incisos anteriores. </w:t>
            </w:r>
          </w:p>
          <w:p w:rsidR="005B386C" w:rsidRPr="005B386C" w:rsidRDefault="005B386C" w:rsidP="005B386C">
            <w:pPr>
              <w:jc w:val="both"/>
              <w:rPr>
                <w:rFonts w:ascii="Cambria" w:hAnsi="Cambria" w:cstheme="minorBidi"/>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5. Aportar prueba de pago de la liquidación privada del impuesto o tributo objeto de conciliación correspondiente al año gravable 2024. Lo anterior, siempre y cuando al momento de presentarse la solicitud de conciliación se hubiere generado la obligación de pagar dicho impuesto o tributo dentro de los plazos establecidos por el Gobierno nacional.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6. Que la solicitud de conciliación sea presentada ante la Dirección de Impuestos y Aduanas Nacionales – DIAN hasta el día treinta y uno (31) de mayo de 2026.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lastRenderedPageBreak/>
              <w:t xml:space="preserve">El acta que dé lugar a la conciliación deberá suscribirse y presentarse por cualquiera de las partes para su aprobación ante el juez administrativo o ante la respectiva corporación de lo Contencioso-Administrativo, según el caso, dentro de los diez (10) días hábiles siguientes a su suscripción, demostrando el cumplimiento de los requisitos legales. Las conciliaciones de que trata el presente artículo deberán ser aceptadas por la autoridad judicial respectiva, dentro del término aquí mencionado.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La sentencia o auto que apruebe la conciliación prestará mérito ejecutivo, de conformidad con lo señalado en los artículos 828 y 829 del Estatuto Tributario, y hará tránsito a cosa juzgada. </w:t>
            </w:r>
          </w:p>
          <w:p w:rsidR="005B386C" w:rsidRDefault="005B386C" w:rsidP="005B386C">
            <w:pPr>
              <w:jc w:val="both"/>
              <w:rPr>
                <w:rFonts w:ascii="Cambria" w:hAnsi="Cambria"/>
                <w:sz w:val="20"/>
                <w:szCs w:val="20"/>
                <w:highlight w:val="yellow"/>
              </w:rPr>
            </w:pPr>
          </w:p>
          <w:p w:rsidR="005B386C" w:rsidRPr="005B386C" w:rsidRDefault="005B386C" w:rsidP="005B386C">
            <w:pPr>
              <w:jc w:val="both"/>
              <w:rPr>
                <w:rFonts w:ascii="Cambria" w:hAnsi="Cambria"/>
                <w:sz w:val="20"/>
                <w:szCs w:val="20"/>
                <w:highlight w:val="yellow"/>
              </w:rPr>
            </w:pPr>
            <w:r w:rsidRPr="005B386C">
              <w:rPr>
                <w:rFonts w:ascii="Cambria" w:hAnsi="Cambria"/>
                <w:sz w:val="20"/>
                <w:szCs w:val="20"/>
                <w:highlight w:val="yellow"/>
              </w:rPr>
              <w:t xml:space="preserve">Lo no previsto en esta disposición se regulará conforme lo dispuesto en la Ley 446 de 1998 y el Código de Procedimiento Administrativo y de lo Contencioso Administrativo, con excepción de las normas que le sean contrarias. </w:t>
            </w:r>
          </w:p>
          <w:p w:rsidR="005B386C" w:rsidRDefault="005B386C" w:rsidP="005B386C">
            <w:pPr>
              <w:jc w:val="both"/>
              <w:rPr>
                <w:rFonts w:ascii="Cambria" w:hAnsi="Cambria"/>
                <w:sz w:val="20"/>
                <w:szCs w:val="20"/>
                <w:highlight w:val="yellow"/>
              </w:rPr>
            </w:pPr>
          </w:p>
          <w:p w:rsidR="005B386C" w:rsidRDefault="005B386C" w:rsidP="005B386C">
            <w:pPr>
              <w:jc w:val="both"/>
              <w:rPr>
                <w:rFonts w:ascii="Cambria" w:hAnsi="Cambria"/>
                <w:sz w:val="20"/>
                <w:szCs w:val="20"/>
                <w:highlight w:val="yellow"/>
              </w:rPr>
            </w:pPr>
            <w:r w:rsidRPr="005B386C">
              <w:rPr>
                <w:rFonts w:ascii="Cambria" w:hAnsi="Cambria"/>
                <w:sz w:val="20"/>
                <w:szCs w:val="20"/>
                <w:highlight w:val="yellow"/>
              </w:rPr>
              <w:t>Parágrafo. La conciliación podrá ser solicitada por aquellos que tengan la calidad de deudores solidarios o garantes del obligado.</w:t>
            </w:r>
          </w:p>
          <w:p w:rsidR="005B386C" w:rsidRPr="005B386C" w:rsidRDefault="005B386C" w:rsidP="005B386C">
            <w:pPr>
              <w:jc w:val="both"/>
              <w:rPr>
                <w:rFonts w:ascii="Cambria" w:hAnsi="Cambria"/>
                <w:sz w:val="20"/>
                <w:szCs w:val="20"/>
                <w:highlight w:val="yellow"/>
                <w:lang w:val="es-ES"/>
              </w:rPr>
            </w:pPr>
          </w:p>
        </w:tc>
      </w:tr>
      <w:tr w:rsidR="005B386C" w:rsidTr="005B386C">
        <w:tc>
          <w:tcPr>
            <w:tcW w:w="8784" w:type="dxa"/>
          </w:tcPr>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lastRenderedPageBreak/>
              <w:t>Artículo 86. Reducción de intereses, sanciones, facilidad de pago de corrección de declaración de importación.</w:t>
            </w:r>
            <w:r w:rsidRPr="002F7350">
              <w:rPr>
                <w:rFonts w:ascii="Cambria" w:hAnsi="Cambria"/>
                <w:sz w:val="20"/>
                <w:szCs w:val="20"/>
                <w:highlight w:val="yellow"/>
              </w:rPr>
              <w:t xml:space="preserve"> Cuando se encuentren en las declaraciones de importación errores e inexactitudes en la liquidación y pago de los tributos aduaneros a 31 de diciembre de 2025, presentadas por los importadores de combustibles líquidos derivados del petróleo de que trata el artículo 2 de la Ley 39 de 1987, se podrán subsanar si cumplen en su totalidad las siguientes condiciones: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1. Presentar la declaración de corrección liquidando y pagando los tributos aduaneros según corresponda, hasta el 30 de mayo de 2026.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2. Liquidar y pagar la sanción aduanera que corresponda reducida al quince por ciento (15%), sin perjuicio de la aplicación de los tratamientos de allanamiento y reducción previstos en el régimen sancionatorio aduanero.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3. En caso de que el importador realice el pago total al momento de presentar la declaración de corrección no habrá lugar al pago de intereses. Si se solicita facilidad de pago se deberán liquidar intereses moratorios a la tasa del 4,5% sobre el saldo insoluto.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Parágrafo 1. Cuando exista discusión ante la administración, el importador podrá acogerse a la terminación del proceso siempre que se cumplan las siguientes condiciones: </w:t>
            </w:r>
          </w:p>
          <w:p w:rsidR="002F7350" w:rsidRPr="002F7350" w:rsidRDefault="002F7350" w:rsidP="002F7350">
            <w:pPr>
              <w:jc w:val="both"/>
              <w:rPr>
                <w:rFonts w:ascii="Cambria" w:hAnsi="Cambria" w:cs="Aptos"/>
                <w:sz w:val="20"/>
                <w:szCs w:val="20"/>
                <w:highlight w:val="yellow"/>
              </w:rPr>
            </w:pPr>
            <w:r w:rsidRPr="002F7350">
              <w:rPr>
                <w:rFonts w:ascii="Cambria" w:hAnsi="Cambria"/>
                <w:sz w:val="20"/>
                <w:szCs w:val="20"/>
                <w:highlight w:val="yellow"/>
              </w:rPr>
              <w:t xml:space="preserve">1. Presentar la declaración de importación corregida liquidando los derechos aduaneros según corresponda, antes del 30 de mayo de 2026.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2. Declarar la sanción de corrección reducida al quince (15%), sin perjuicio de la aplicación de los tratamientos de allanamiento y reducción previstos en el régimen sancionatorio aduanero.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3. En caso de que el importador realice el pago total al momento de presentar la declaración de corrección no habrá lugar al pago de intereses.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4. Cuando solicite facilidad de pago se deberá liquidar intereses moratorios a la tasa del 4,5% sobre el saldo insoluto. En este caso, la facilidad de pago deberá estar expedida por el área competente de la Unidad Administrativa Especial Dirección de Impuestos y Aduanas Nacionales -DIAN.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5. Presentar un escrito a la Unidad Administrativa Especial Dirección de Impuestos y Aduanas Nacionales -DIAN, a más tardar el treinta (30) de mayo de 2026, en el que acepta los hechos objeto de discusión.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El área de la Unidad Administrativa Especial Dirección de Impuestos y Aduanas Nacionales -DIAN en donde se encuentre el proceso, verificará el cumplimiento de los requisitos indicados en este parágrafo y expedirá el acto administrativo que da por terminado el proceso.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Cuando el importador incumpla con las condiciones aquí previstas, los procedimientos administrativos continuarán su curso, las declaraciones de corrección presentadas no tendrán efecto </w:t>
            </w:r>
            <w:r w:rsidRPr="002F7350">
              <w:rPr>
                <w:rFonts w:ascii="Cambria" w:hAnsi="Cambria"/>
                <w:sz w:val="20"/>
                <w:szCs w:val="20"/>
                <w:highlight w:val="yellow"/>
              </w:rPr>
              <w:lastRenderedPageBreak/>
              <w:t xml:space="preserve">legal alguno, sin necesidad de acto que así lo declare y los dineros pagados serán imputados a la obligación objeto de discusión hasta que el acto administrativo quede ejecutoriado, sin perjuicio de la procedencia de la solicitud de devolución en caso que en sede judicial el fallo definitivo sea a favor del importador.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Parágrafo 2. Facúltese a la Dirección de Impuestos y Aduanas Nacionales -DIAN, para realizar conciliaciones en procesos contenciosos administrativos, frente a los procesos de que trata el presente artículo, siempre que se cumplan los siguientes términos y condiciones: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Los importadores de combustibles líquidos derivados del petróleo de que trata el artículo 2 de la Ley 39 de 1987 que hayan interpuesto demanda de nulidad y restablecimiento del derecho ante la jurisdicción de lo contencioso administrativo, podrán conciliar el valor de las sanciones e intereses según el caso, discutidos contra las liquidaciones oficiales aduaneras, mediante solicitud presentada ante la Dirección de Impuestos y Aduanas Nacionales – DIAN, así: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1. Cuando el proceso contra una liquidación oficial se encuentre en única o primera instancia ante un Juzgado Administrativo o Tribunal Administrativo, según el caso, se podrá solicitar la conciliación por el ochenta y cinco (85%) del valor total de las sanciones y actualización según el caso, e intereses al 4,5% anual, siempre y cuando el demandante pague el ciento por ciento (100%) de los tributos aduaneros en discusión y el quince por ciento (15%) del valor total de las sanciones y actualización e intereses a la tasa del 4,5% anual.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2. Cuando el proceso contra una liquidación oficial se halle en segunda instancia ante el Tribunal Contencioso Administrativo o el Consejo de Estado según el caso, se podrá solicitar la conciliación por el ochenta por ciento (80%) del valor total de las sanciones y actualización según el caso e intereses al 4,5% anual, siempre y cuando el demandante pague el ciento por ciento (100%) de los tributos aduaneros en discusión y el veinte por ciento (20%) del valor total de las sanciones, y actualización e intereses a la tasa del 4,5% anual. Se entenderá que el proceso se encuentra en segunda instancia cuando ha sido admitido el recurso de apelación interpuesto contra la sentencia de primera instancia.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Para efectos de la aplicación de este parágrafo los importadores de combustibles líquidos derivados del petróleo de que trata el artículo 2 de la Ley 39 de 1987 deberán cumplir con los siguientes requisitos y condiciones: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1. Haber presentado la demanda hasta el 31 de diciembre de 2025.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2. Que la demanda haya sido admitida antes de la presentación de la solicitud de conciliación ante la administración.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3. Que no exista sentencia o decisión judicial en firme que le ponga fin al respectivo proceso judicial.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4. Aportar prueba de pago o de la facilidad de pago de los tributos aduaneros, sanciones e intereses, según corresponda y que sean objeto de conciliación. Lo anterior, siempre y cuando al momento de presentarse la solicitud de conciliación se hubiere generado la obligación de pagar dichos tributos. </w:t>
            </w: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5. Que la solicitud de conciliación sea presentada ante la Dirección de Impuestos y Aduanas Nacionales – DIAN, a más tardar al 30 de mayo de 2026.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El acta que dé lugar a la conciliación deberá suscribirse y presentarse por cualquiera de las partes para su aprobación ante el juez administrativo o ante la respectiva corporación de lo Contencioso-Administrativo, según el caso, dentro de los diez (10) días hábiles siguientes a su suscripción, demostrando el cumplimiento de los requisitos legales. Las conciliaciones de que trata el presente parágrafo deberán ser aceptadas por la autoridad judicial respectiva, dentro del término aquí mencionado. La sentencia o auto que apruebe la conciliación prestará mérito ejecutivo, de conformidad con lo señalado en los artículos 828 y 829 del Estatuto Tributario, y hará tránsito a cosa juzgada.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lastRenderedPageBreak/>
              <w:t xml:space="preserve">Lo no previsto en esta disposición se regulará conforme lo dispuesto en la Ley 446 de 1998 y el Código de Procedimiento Administrativo y de lo Contencioso Administrativo, con excepción de las normas que le sean contrarias.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La conciliación podrá ser solicitada por aquellos que tengan la calidad de deudores solidarios o garantes del obligado.”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t>Parágrafo 3.</w:t>
            </w:r>
            <w:r w:rsidRPr="002F7350">
              <w:rPr>
                <w:rFonts w:ascii="Cambria" w:hAnsi="Cambria"/>
                <w:sz w:val="20"/>
                <w:szCs w:val="20"/>
                <w:highlight w:val="yellow"/>
              </w:rPr>
              <w:t xml:space="preserve"> La DIAN podrá otorgar una facilidad de pago cuando la sumatoria de la corrección individual o acumulada por este mismo hecho supere un valor de 2.000.000 UVT y el importador así lo solicite, siempre y cuando cumpla los siguientes requisitos: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1. El plazo puede ser hasta 10 años. Cuando el plazo sea superior a 5 años, deberá ser autorizado por el director de Gestión de Impuestos de la Unidad administrativa Especial Dirección de Impuestos y Aduanas Nacionales -DIAN. </w:t>
            </w:r>
          </w:p>
          <w:p w:rsidR="002F7350" w:rsidRPr="002F7350" w:rsidRDefault="002F7350" w:rsidP="002F7350">
            <w:pPr>
              <w:jc w:val="both"/>
              <w:rPr>
                <w:rFonts w:ascii="Cambria" w:hAnsi="Cambria" w:cs="Aptos"/>
                <w:sz w:val="20"/>
                <w:szCs w:val="20"/>
                <w:highlight w:val="yellow"/>
              </w:rPr>
            </w:pPr>
            <w:r w:rsidRPr="002F7350">
              <w:rPr>
                <w:rFonts w:ascii="Cambria" w:hAnsi="Cambria"/>
                <w:sz w:val="20"/>
                <w:szCs w:val="20"/>
                <w:highlight w:val="yellow"/>
              </w:rPr>
              <w:t>2. Se constituya fideicomiso de garantía, se ofrezca bienes para su embargo y secuestro, garantías reales, bancarias o de compañías de seguros o cualquiera otra garantía que respalde la deuda a satisfacción de la administración.</w:t>
            </w:r>
          </w:p>
          <w:p w:rsidR="002F7350" w:rsidRPr="002F7350" w:rsidRDefault="002F7350" w:rsidP="002F7350">
            <w:pPr>
              <w:jc w:val="both"/>
              <w:rPr>
                <w:rFonts w:ascii="Cambria" w:hAnsi="Cambria" w:cstheme="minorBidi"/>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Cuando los beneficiarios de estas facilidades soliciten devoluciones y/o compensaciones ante la DIAN, el veinte por ciento (20%) de los valores solicitados en devolución y/o compensación será compensado contra la facilidad de pago otorgada de acuerdo con lo previsto en este parágrafo. En este evento no aplicará lo previsto en el artículo 861 del Estatuto Tributario. En todo caso, el contribuyente podrá autorizar un porcentaje mayor de compensación.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t>Parágrafo 4</w:t>
            </w:r>
            <w:r w:rsidRPr="002F7350">
              <w:rPr>
                <w:rFonts w:ascii="Cambria" w:hAnsi="Cambria"/>
                <w:sz w:val="20"/>
                <w:szCs w:val="20"/>
                <w:highlight w:val="yellow"/>
              </w:rPr>
              <w:t xml:space="preserve">. Cuando el importador corrija la declaración de importación, solicite y se acepte la facilidad de pago, la declaración de corrección se tendrá como válida para efectos aduaneros y tributarios según corresponda.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t>Parágrafo 5.</w:t>
            </w:r>
            <w:r w:rsidRPr="002F7350">
              <w:rPr>
                <w:rFonts w:ascii="Cambria" w:hAnsi="Cambria"/>
                <w:sz w:val="20"/>
                <w:szCs w:val="20"/>
                <w:highlight w:val="yellow"/>
              </w:rPr>
              <w:t xml:space="preserve"> El impuesto sobre las ventas -IVA pagado con ocasión de lo previsto en este artículo podrá ser tratado como un impuesto descontable en cuotas iguales en las siguientes treinta (30) declaraciones bimestrales del IVA que presente el contribuyente con posterioridad a las correcciones de las declaraciones de importación y el cumplimiento de los requisitos de este artículo.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Si el contribuyente solicitó una facilidad de pago que excede de los cinco (5) años, el impuesto sobre las ventas -IVA corregido podrá ser tratado como un impuesto descontable en cuotas iguales en las siguientes declaraciones bimestrales que presente el contribuyente con posterioridad a las correcciones de las declaraciones de importación durante el tiempo que dure la facilidad de pago. Sin embargo, en este caso, si el descuento genera un saldo a favor, este podrá ser solicitado solo si el descuento fue efectivamente pagado. En caso contrario, deberá imputarse en los siguientes bimestres.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t>Parágrafo 6.</w:t>
            </w:r>
            <w:r w:rsidRPr="002F7350">
              <w:rPr>
                <w:rFonts w:ascii="Cambria" w:hAnsi="Cambria"/>
                <w:sz w:val="20"/>
                <w:szCs w:val="20"/>
                <w:highlight w:val="yellow"/>
              </w:rPr>
              <w:t xml:space="preserve"> Cuando se incumpla la facilidad de pago, se aplicará el procedimiento previsto en el artículo 814-3 del Estatuto Tributario y se reliquidarán los intereses moratorios sobre aquellas obligaciones insolutas a la tasa de interés moratorio vigente, según lo previsto en el artículo 635 del Estatuto Tributario.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Las declaraciones de importación corregidas y que quedaron sin pago total o parcial, pierden el beneficio de la sanción reducida, debiendo la DIAN reliquidar la sanción correspondiente.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Si el valor del IVA fue utilizado en una declaración del impuesto sobre las ventas, de conformidad con lo previsto en el inciso segundo del parágrafo 5 del presente artículo, se declarará como mayor valor del impuesto generado en cualquiera de los periodos del año gravable en que se decretó el incumplimiento o mediante liquidación oficial de revisión sobre el último bimestre del año en que se decretó el incumplimiento.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lastRenderedPageBreak/>
              <w:t>Parágrafo 7.</w:t>
            </w:r>
            <w:r w:rsidRPr="002F7350">
              <w:rPr>
                <w:rFonts w:ascii="Cambria" w:hAnsi="Cambria"/>
                <w:sz w:val="20"/>
                <w:szCs w:val="20"/>
                <w:highlight w:val="yellow"/>
              </w:rPr>
              <w:t xml:space="preserve"> Las agencias de aduanas que hayan actuado como declarantes en las operaciones de importación de combustibles líquidos derivados del petróleo de que trata el artículo 2 de la Ley 39 de 1987, podrán acogerse en las diferentes etapas previstas en el presente artículo y acreditando las condiciones a que haya lugar, presentando un escrito a la Unidad Administrativa Especial Dirección de Impuestos y Aduanas Nacionales -DIAN o ante las corporaciones de la jurisdicción de lo contencioso administrativo a las que se refiere el parágrafo 2 de este artículo, según corresponda, hasta el 31 de mayo de 2026, en el que conste que acepta los hechos objeto de discusión y acredite la liquidación y pago del cero punto uno por ciento (0.1%) sin perjuicio de la aplicación de los tratamientos de allanamiento y reducción previstos en esta ley, respecto de la sanción impuesta. En todo caso las sanciones acumuladas por los hechos previstos en este artículo para las agencias de aduanas no podrán exceder de quince mil Unidades de Valor Tributario (15.000 UVT). </w:t>
            </w:r>
          </w:p>
          <w:p w:rsidR="002F7350" w:rsidRPr="002F7350" w:rsidRDefault="002F7350" w:rsidP="002F7350">
            <w:pPr>
              <w:jc w:val="both"/>
              <w:rPr>
                <w:rFonts w:ascii="Cambria" w:hAnsi="Cambria"/>
                <w:sz w:val="20"/>
                <w:szCs w:val="20"/>
                <w:highlight w:val="yellow"/>
              </w:rPr>
            </w:pPr>
          </w:p>
          <w:p w:rsidR="002F7350" w:rsidRPr="002F7350" w:rsidRDefault="002F7350" w:rsidP="002F7350">
            <w:pPr>
              <w:jc w:val="both"/>
              <w:rPr>
                <w:rFonts w:ascii="Cambria" w:hAnsi="Cambria"/>
                <w:sz w:val="20"/>
                <w:szCs w:val="20"/>
                <w:highlight w:val="yellow"/>
              </w:rPr>
            </w:pPr>
            <w:r w:rsidRPr="002F7350">
              <w:rPr>
                <w:rFonts w:ascii="Cambria" w:hAnsi="Cambria"/>
                <w:b/>
                <w:bCs/>
                <w:sz w:val="20"/>
                <w:szCs w:val="20"/>
                <w:highlight w:val="yellow"/>
              </w:rPr>
              <w:t>Parágrafo 8</w:t>
            </w:r>
            <w:r w:rsidRPr="002F7350">
              <w:rPr>
                <w:rFonts w:ascii="Cambria" w:hAnsi="Cambria"/>
                <w:sz w:val="20"/>
                <w:szCs w:val="20"/>
                <w:highlight w:val="yellow"/>
              </w:rPr>
              <w:t xml:space="preserve">. Las declaraciones presentadas o los pagos realizados, con fundamento en lo aquí previsto consolida la situación jurídica del importador o agencia de aduanas. </w:t>
            </w:r>
          </w:p>
          <w:p w:rsidR="002F7350" w:rsidRPr="002F7350" w:rsidRDefault="002F7350" w:rsidP="002F7350">
            <w:pPr>
              <w:jc w:val="both"/>
              <w:rPr>
                <w:rFonts w:ascii="Cambria" w:hAnsi="Cambria"/>
                <w:sz w:val="20"/>
                <w:szCs w:val="20"/>
                <w:highlight w:val="yellow"/>
              </w:rPr>
            </w:pPr>
          </w:p>
          <w:p w:rsidR="005B386C" w:rsidRPr="002F7350" w:rsidRDefault="002F7350" w:rsidP="002F7350">
            <w:pPr>
              <w:jc w:val="both"/>
              <w:rPr>
                <w:rFonts w:ascii="Cambria" w:hAnsi="Cambria"/>
                <w:sz w:val="20"/>
                <w:szCs w:val="20"/>
                <w:highlight w:val="yellow"/>
              </w:rPr>
            </w:pPr>
            <w:r w:rsidRPr="002F7350">
              <w:rPr>
                <w:rFonts w:ascii="Cambria" w:hAnsi="Cambria"/>
                <w:sz w:val="20"/>
                <w:szCs w:val="20"/>
                <w:highlight w:val="yellow"/>
              </w:rPr>
              <w:t xml:space="preserve">De igual forma, si los importadores se acogen a lo dispuesto en este artículo no se enmarca en el artículo 6 de la Ley 610 de 2000. </w:t>
            </w:r>
          </w:p>
          <w:p w:rsidR="002F7350" w:rsidRPr="00A45FD7" w:rsidRDefault="002F7350" w:rsidP="002F7350">
            <w:pPr>
              <w:jc w:val="both"/>
              <w:rPr>
                <w:rFonts w:ascii="Cambria" w:hAnsi="Cambria"/>
                <w:sz w:val="20"/>
                <w:szCs w:val="20"/>
                <w:highlight w:val="yellow"/>
              </w:rPr>
            </w:pPr>
          </w:p>
        </w:tc>
      </w:tr>
      <w:tr w:rsidR="005B386C" w:rsidTr="005B386C">
        <w:tc>
          <w:tcPr>
            <w:tcW w:w="8784" w:type="dxa"/>
          </w:tcPr>
          <w:p w:rsidR="00A45FD7" w:rsidRPr="00A45FD7" w:rsidRDefault="00A45FD7" w:rsidP="00A45FD7">
            <w:pPr>
              <w:jc w:val="both"/>
              <w:rPr>
                <w:rFonts w:ascii="Cambria" w:hAnsi="Cambria"/>
                <w:sz w:val="20"/>
                <w:szCs w:val="20"/>
                <w:highlight w:val="yellow"/>
              </w:rPr>
            </w:pPr>
            <w:r w:rsidRPr="00A45FD7">
              <w:rPr>
                <w:rFonts w:ascii="Cambria" w:hAnsi="Cambria"/>
                <w:b/>
                <w:bCs/>
                <w:sz w:val="20"/>
                <w:szCs w:val="20"/>
                <w:highlight w:val="yellow"/>
              </w:rPr>
              <w:lastRenderedPageBreak/>
              <w:t xml:space="preserve">Artículo 87. Impuesto complementario de normalización tributaria- Sujetos Pasivos. </w:t>
            </w:r>
            <w:r w:rsidRPr="00A45FD7">
              <w:rPr>
                <w:rFonts w:ascii="Cambria" w:hAnsi="Cambria"/>
                <w:sz w:val="20"/>
                <w:szCs w:val="20"/>
                <w:highlight w:val="yellow"/>
              </w:rPr>
              <w:t xml:space="preserve">Créase el impuesto complementario de normalización tributaria, el cual estará a cargo de los contribuyentes del impuesto sobre la renta y complementarios o de regímenes sustitutivos del impuesto sobre la renta, que tengan activos omitidos o pasivos inexistentes a 1 de enero de 2026. </w:t>
            </w:r>
          </w:p>
          <w:p w:rsidR="005B386C" w:rsidRDefault="00A45FD7" w:rsidP="00A45FD7">
            <w:pPr>
              <w:jc w:val="both"/>
              <w:rPr>
                <w:rFonts w:ascii="Cambria" w:hAnsi="Cambria"/>
                <w:sz w:val="20"/>
                <w:szCs w:val="20"/>
                <w:highlight w:val="yellow"/>
              </w:rPr>
            </w:pPr>
            <w:r w:rsidRPr="00A45FD7">
              <w:rPr>
                <w:rFonts w:ascii="Cambria" w:hAnsi="Cambria"/>
                <w:sz w:val="20"/>
                <w:szCs w:val="20"/>
                <w:highlight w:val="yellow"/>
              </w:rPr>
              <w:t xml:space="preserve">Parágrafo. Los contribuyentes del impuesto sobre la renta o de regímenes sustitutivos del impuesto sobre la renta que no tengan activos omitidos o pasivos inexistentes a 1 de enero de 2026 no serán sujetos pasivos del impuesto complementario de normalización </w:t>
            </w:r>
          </w:p>
          <w:p w:rsidR="00A45FD7" w:rsidRPr="00A45FD7" w:rsidRDefault="00A45FD7" w:rsidP="00A45FD7">
            <w:pPr>
              <w:jc w:val="both"/>
              <w:rPr>
                <w:rFonts w:ascii="Cambria" w:hAnsi="Cambria"/>
                <w:sz w:val="20"/>
                <w:szCs w:val="20"/>
                <w:highlight w:val="yellow"/>
                <w:lang w:val="es-ES"/>
              </w:rPr>
            </w:pPr>
          </w:p>
        </w:tc>
      </w:tr>
      <w:tr w:rsidR="005B386C" w:rsidTr="005B386C">
        <w:tc>
          <w:tcPr>
            <w:tcW w:w="8784" w:type="dxa"/>
          </w:tcPr>
          <w:p w:rsidR="00A45FD7" w:rsidRPr="00A45FD7" w:rsidRDefault="00A45FD7" w:rsidP="00A45FD7">
            <w:pPr>
              <w:rPr>
                <w:rFonts w:ascii="Cambria" w:hAnsi="Cambria"/>
                <w:sz w:val="20"/>
                <w:szCs w:val="20"/>
                <w:highlight w:val="yellow"/>
              </w:rPr>
            </w:pPr>
            <w:r w:rsidRPr="00A45FD7">
              <w:rPr>
                <w:rFonts w:ascii="Cambria" w:hAnsi="Cambria"/>
                <w:b/>
                <w:bCs/>
                <w:sz w:val="20"/>
                <w:szCs w:val="20"/>
                <w:highlight w:val="yellow"/>
              </w:rPr>
              <w:t xml:space="preserve">Artículo 88. Hecho generador. </w:t>
            </w:r>
            <w:r w:rsidRPr="00A45FD7">
              <w:rPr>
                <w:rFonts w:ascii="Cambria" w:hAnsi="Cambria"/>
                <w:sz w:val="20"/>
                <w:szCs w:val="20"/>
                <w:highlight w:val="yellow"/>
              </w:rPr>
              <w:t xml:space="preserve">El impuesto complementario de normalización tributaria se causa por la posesión de activos omitidos y pasivos inexistentes a 1 de enero 2026. </w:t>
            </w:r>
          </w:p>
          <w:p w:rsidR="00A45FD7" w:rsidRPr="00A45FD7" w:rsidRDefault="00A45FD7" w:rsidP="00A45FD7">
            <w:pPr>
              <w:rPr>
                <w:rFonts w:ascii="Cambria" w:hAnsi="Cambria"/>
                <w:b/>
                <w:bCs/>
                <w:sz w:val="20"/>
                <w:szCs w:val="20"/>
                <w:highlight w:val="yellow"/>
              </w:rPr>
            </w:pPr>
          </w:p>
          <w:p w:rsidR="00A45FD7" w:rsidRPr="00A45FD7" w:rsidRDefault="00A45FD7" w:rsidP="00A45FD7">
            <w:pPr>
              <w:rPr>
                <w:rFonts w:ascii="Cambria" w:hAnsi="Cambria"/>
                <w:sz w:val="20"/>
                <w:szCs w:val="20"/>
                <w:highlight w:val="yellow"/>
              </w:rPr>
            </w:pPr>
            <w:r w:rsidRPr="00A45FD7">
              <w:rPr>
                <w:rFonts w:ascii="Cambria" w:hAnsi="Cambria"/>
                <w:b/>
                <w:bCs/>
                <w:sz w:val="20"/>
                <w:szCs w:val="20"/>
                <w:highlight w:val="yellow"/>
              </w:rPr>
              <w:t xml:space="preserve">Parágrafo 1. </w:t>
            </w:r>
            <w:r w:rsidRPr="00A45FD7">
              <w:rPr>
                <w:rFonts w:ascii="Cambria" w:hAnsi="Cambria"/>
                <w:sz w:val="20"/>
                <w:szCs w:val="20"/>
                <w:highlight w:val="yellow"/>
              </w:rPr>
              <w:t xml:space="preserve">Para efectos de lo dispuesto en este artículo, se entiende por activos omitidos aquellos que no fueron incluidos en las declaraciones de impuestos nacionales existiendo la obligación legal de hacerlo o que se encuentran subvalorados. Quien tiene la obligación legal de incluir activos omitidos en sus declaraciones de impuestos nacionales es aquel que tiene el aprovechamiento económico, potencial o real, de dichos activos. </w:t>
            </w:r>
          </w:p>
          <w:p w:rsidR="00A45FD7" w:rsidRPr="00A45FD7" w:rsidRDefault="00A45FD7" w:rsidP="00A45FD7">
            <w:pPr>
              <w:rPr>
                <w:rFonts w:ascii="Cambria" w:hAnsi="Cambria"/>
                <w:sz w:val="20"/>
                <w:szCs w:val="20"/>
                <w:highlight w:val="yellow"/>
              </w:rPr>
            </w:pPr>
          </w:p>
          <w:p w:rsidR="005B386C" w:rsidRPr="00A45FD7" w:rsidRDefault="00A45FD7" w:rsidP="00A45FD7">
            <w:pPr>
              <w:rPr>
                <w:rFonts w:ascii="Cambria" w:hAnsi="Cambria"/>
                <w:sz w:val="20"/>
                <w:szCs w:val="20"/>
                <w:highlight w:val="yellow"/>
              </w:rPr>
            </w:pPr>
            <w:r w:rsidRPr="00A45FD7">
              <w:rPr>
                <w:rFonts w:ascii="Cambria" w:hAnsi="Cambria"/>
                <w:sz w:val="20"/>
                <w:szCs w:val="20"/>
                <w:highlight w:val="yellow"/>
              </w:rPr>
              <w:t>Se entiende por pasivos inexistentes, aquellos reportados en las declaraciones de impuestos nacionales sin que exista un soporte válido de realidad o validez, con el único fin de aminorar o disminuir la carga tributaria a cargo del contribuyente</w:t>
            </w:r>
          </w:p>
          <w:p w:rsidR="00A45FD7" w:rsidRPr="00A45FD7" w:rsidRDefault="00A45FD7" w:rsidP="00A45FD7">
            <w:pPr>
              <w:rPr>
                <w:rFonts w:ascii="Cambria" w:hAnsi="Cambria"/>
                <w:sz w:val="20"/>
                <w:szCs w:val="20"/>
                <w:highlight w:val="yellow"/>
                <w:lang w:val="es-ES"/>
              </w:rPr>
            </w:pPr>
          </w:p>
        </w:tc>
      </w:tr>
      <w:tr w:rsidR="005B386C" w:rsidTr="005B386C">
        <w:tc>
          <w:tcPr>
            <w:tcW w:w="8784" w:type="dxa"/>
          </w:tcPr>
          <w:p w:rsidR="00A45FD7" w:rsidRPr="00A45FD7" w:rsidRDefault="00A45FD7" w:rsidP="00A45FD7">
            <w:pPr>
              <w:jc w:val="both"/>
              <w:rPr>
                <w:rFonts w:ascii="Cambria" w:hAnsi="Cambria"/>
                <w:sz w:val="20"/>
                <w:szCs w:val="20"/>
                <w:highlight w:val="yellow"/>
              </w:rPr>
            </w:pPr>
            <w:r w:rsidRPr="00A45FD7">
              <w:rPr>
                <w:rFonts w:ascii="Cambria" w:hAnsi="Cambria"/>
                <w:b/>
                <w:bCs/>
                <w:sz w:val="20"/>
                <w:szCs w:val="20"/>
                <w:highlight w:val="yellow"/>
              </w:rPr>
              <w:t xml:space="preserve">Artículo 89. Base gravable. </w:t>
            </w:r>
            <w:r w:rsidRPr="00A45FD7">
              <w:rPr>
                <w:rFonts w:ascii="Cambria" w:hAnsi="Cambria"/>
                <w:sz w:val="20"/>
                <w:szCs w:val="20"/>
                <w:highlight w:val="yellow"/>
              </w:rPr>
              <w:t xml:space="preserve">La base gravable del impuesto complementario de normalización tributaria será el valor del costo fiscal de los activos omitidos, al 1 de enero de 2026, determinado conforme a las reglas del Título II del Libro I del Estatuto Tributario o el </w:t>
            </w:r>
            <w:proofErr w:type="spellStart"/>
            <w:r w:rsidRPr="00A45FD7">
              <w:rPr>
                <w:rFonts w:ascii="Cambria" w:hAnsi="Cambria"/>
                <w:sz w:val="20"/>
                <w:szCs w:val="20"/>
                <w:highlight w:val="yellow"/>
              </w:rPr>
              <w:t>autoavalúo</w:t>
            </w:r>
            <w:proofErr w:type="spellEnd"/>
            <w:r w:rsidRPr="00A45FD7">
              <w:rPr>
                <w:rFonts w:ascii="Cambria" w:hAnsi="Cambria"/>
                <w:sz w:val="20"/>
                <w:szCs w:val="20"/>
                <w:highlight w:val="yellow"/>
              </w:rPr>
              <w:t xml:space="preserve"> comercial que establezca el contribuyente con soporte técnico, el cual deberá corresponder, como mínimo, al del costo fiscal de los activos omitidos determinado conforme a las reglas del Título II del Libro I del Estatuto Tributario. </w:t>
            </w:r>
          </w:p>
          <w:p w:rsidR="00A45FD7" w:rsidRDefault="00A45FD7" w:rsidP="00A45FD7">
            <w:pPr>
              <w:jc w:val="both"/>
              <w:rPr>
                <w:rFonts w:ascii="Cambria" w:hAnsi="Cambria"/>
                <w:sz w:val="20"/>
                <w:szCs w:val="20"/>
                <w:highlight w:val="yellow"/>
              </w:rPr>
            </w:pPr>
          </w:p>
          <w:p w:rsidR="00A45FD7" w:rsidRPr="00A45FD7" w:rsidRDefault="00A45FD7" w:rsidP="00A45FD7">
            <w:pPr>
              <w:jc w:val="both"/>
              <w:rPr>
                <w:rFonts w:ascii="Cambria" w:hAnsi="Cambria"/>
                <w:sz w:val="20"/>
                <w:szCs w:val="20"/>
                <w:highlight w:val="yellow"/>
              </w:rPr>
            </w:pPr>
            <w:r w:rsidRPr="00A45FD7">
              <w:rPr>
                <w:rFonts w:ascii="Cambria" w:hAnsi="Cambria"/>
                <w:sz w:val="20"/>
                <w:szCs w:val="20"/>
                <w:highlight w:val="yellow"/>
              </w:rPr>
              <w:t xml:space="preserve">La base gravable de los bienes que son objeto del impuesto complementario de normalización tributaria será considerada como el precio de adquisición de dichos bienes para efectos de determinar su costo fiscal. Las estructuras que se hayan creado con el propósito de transferir los activos omitidos, a cualquier título, a entidades con costos fiscales sustancialmente inferiores al costo fiscal de los activos subyacentes, no serán reconocidas y la base gravable se calculará con fundamento en el costo fiscal de los activos subyacentes. </w:t>
            </w:r>
          </w:p>
          <w:p w:rsidR="00A45FD7" w:rsidRDefault="00A45FD7" w:rsidP="00A45FD7">
            <w:pPr>
              <w:jc w:val="both"/>
              <w:rPr>
                <w:rFonts w:ascii="Cambria" w:hAnsi="Cambria"/>
                <w:sz w:val="20"/>
                <w:szCs w:val="20"/>
                <w:highlight w:val="yellow"/>
              </w:rPr>
            </w:pPr>
          </w:p>
          <w:p w:rsidR="00A45FD7" w:rsidRDefault="00A45FD7" w:rsidP="00A45FD7">
            <w:pPr>
              <w:jc w:val="both"/>
              <w:rPr>
                <w:rFonts w:ascii="Cambria" w:hAnsi="Cambria"/>
                <w:sz w:val="20"/>
                <w:szCs w:val="20"/>
                <w:highlight w:val="yellow"/>
              </w:rPr>
            </w:pPr>
            <w:r w:rsidRPr="00A45FD7">
              <w:rPr>
                <w:rFonts w:ascii="Cambria" w:hAnsi="Cambria"/>
                <w:sz w:val="20"/>
                <w:szCs w:val="20"/>
                <w:highlight w:val="yellow"/>
              </w:rPr>
              <w:lastRenderedPageBreak/>
              <w:t xml:space="preserve">En el caso de pasivos inexistentes, la base gravable del impuesto complementario de normalización tributaria será el valor fiscal de dichos pasivos inexistentes según lo dispuesto en las normas del Título I del Libro I del Estatuto Tributario o el valor reportado en la última declaración de renta. </w:t>
            </w:r>
          </w:p>
          <w:p w:rsidR="00A45FD7" w:rsidRDefault="00A45FD7" w:rsidP="00A45FD7">
            <w:pPr>
              <w:jc w:val="both"/>
              <w:rPr>
                <w:rFonts w:ascii="Cambria" w:hAnsi="Cambria"/>
                <w:sz w:val="20"/>
                <w:szCs w:val="20"/>
                <w:highlight w:val="yellow"/>
              </w:rPr>
            </w:pPr>
          </w:p>
          <w:p w:rsidR="00A45FD7" w:rsidRPr="00A45FD7" w:rsidRDefault="00A45FD7" w:rsidP="00A45FD7">
            <w:pPr>
              <w:jc w:val="both"/>
              <w:rPr>
                <w:rFonts w:ascii="Cambria" w:hAnsi="Cambria"/>
                <w:sz w:val="20"/>
                <w:szCs w:val="20"/>
                <w:highlight w:val="yellow"/>
              </w:rPr>
            </w:pPr>
            <w:r w:rsidRPr="00A45FD7">
              <w:rPr>
                <w:rFonts w:ascii="Cambria" w:hAnsi="Cambria"/>
                <w:b/>
                <w:bCs/>
                <w:sz w:val="20"/>
                <w:szCs w:val="20"/>
                <w:highlight w:val="yellow"/>
              </w:rPr>
              <w:t xml:space="preserve">Parágrafo 1. </w:t>
            </w:r>
            <w:r w:rsidRPr="00A45FD7">
              <w:rPr>
                <w:rFonts w:ascii="Cambria" w:hAnsi="Cambria"/>
                <w:sz w:val="20"/>
                <w:szCs w:val="20"/>
                <w:highlight w:val="yellow"/>
              </w:rPr>
              <w:t xml:space="preserve">Para efectos del impuesto de normalización tributaria, las fundaciones de interés privado del exterior, </w:t>
            </w:r>
            <w:proofErr w:type="spellStart"/>
            <w:r w:rsidRPr="00A45FD7">
              <w:rPr>
                <w:rFonts w:ascii="Cambria" w:hAnsi="Cambria"/>
                <w:sz w:val="20"/>
                <w:szCs w:val="20"/>
                <w:highlight w:val="yellow"/>
              </w:rPr>
              <w:t>trusts</w:t>
            </w:r>
            <w:proofErr w:type="spellEnd"/>
            <w:r w:rsidRPr="00A45FD7">
              <w:rPr>
                <w:rFonts w:ascii="Cambria" w:hAnsi="Cambria"/>
                <w:sz w:val="20"/>
                <w:szCs w:val="20"/>
                <w:highlight w:val="yellow"/>
              </w:rPr>
              <w:t xml:space="preserve"> del exterior, seguro con componente de ahorro material, fondo de inversión o cualquier otro negocio fiduciario del exterior se asimilan a derechos fiduciarios poseídos en Colombia y se encuentran sujetas al impuesto de normalización tributaria. En consecuencia, su valor patrimonial se determinará con base en el costo fiscal, a 1 de enero de 2026, de los activos omitidos determinados conforme a las reglas del Título II del Libro I del Estatuto Tributario o el </w:t>
            </w:r>
            <w:proofErr w:type="spellStart"/>
            <w:r w:rsidRPr="00A45FD7">
              <w:rPr>
                <w:rFonts w:ascii="Cambria" w:hAnsi="Cambria"/>
                <w:sz w:val="20"/>
                <w:szCs w:val="20"/>
                <w:highlight w:val="yellow"/>
              </w:rPr>
              <w:t>autoavalúo</w:t>
            </w:r>
            <w:proofErr w:type="spellEnd"/>
            <w:r w:rsidRPr="00A45FD7">
              <w:rPr>
                <w:rFonts w:ascii="Cambria" w:hAnsi="Cambria"/>
                <w:sz w:val="20"/>
                <w:szCs w:val="20"/>
                <w:highlight w:val="yellow"/>
              </w:rPr>
              <w:t xml:space="preserve"> comercial que establezca el contribuyente con soporte técnico y para el cálculo de su costo fiscal se aplicará el principio de transparencia fiscal en referencia a los activos subyacentes. </w:t>
            </w:r>
          </w:p>
          <w:p w:rsidR="00A45FD7" w:rsidRDefault="00A45FD7" w:rsidP="00A45FD7">
            <w:pPr>
              <w:jc w:val="both"/>
              <w:rPr>
                <w:rFonts w:ascii="Cambria" w:hAnsi="Cambria"/>
                <w:sz w:val="20"/>
                <w:szCs w:val="20"/>
                <w:highlight w:val="yellow"/>
              </w:rPr>
            </w:pPr>
          </w:p>
          <w:p w:rsidR="005B386C" w:rsidRDefault="00A45FD7" w:rsidP="00A45FD7">
            <w:pPr>
              <w:jc w:val="both"/>
              <w:rPr>
                <w:rFonts w:ascii="Cambria" w:hAnsi="Cambria"/>
                <w:sz w:val="20"/>
                <w:szCs w:val="20"/>
                <w:highlight w:val="yellow"/>
              </w:rPr>
            </w:pPr>
            <w:r w:rsidRPr="00A45FD7">
              <w:rPr>
                <w:rFonts w:ascii="Cambria" w:hAnsi="Cambria"/>
                <w:sz w:val="20"/>
                <w:szCs w:val="20"/>
                <w:highlight w:val="yellow"/>
              </w:rPr>
              <w:t>Para todos los efectos del impuesto sobre la renta, regímenes sustitutivos del impuesto sobre la renta, el impuesto al patrimonio y el complementario de normalización tributaria, cuando los beneficiarios estén condicionados o no tengan control o disposición de los activos, el declarante será el fundador, constituyente u originario del patrimonio transferido a la fundación de interés privado del exterior, trust del exterior, seguro con componente de ahorro material, fondo de inversión o cualquier otro negocio fiduciario. Lo anterior sin consideración de la calidad de discrecional, revocable o irrevocable y sin consideración de las facultades del protector, asesor de inversiones, comité de inversiones o poderes irrevocables otorgados a favor del fiduciario o de un tercero. En caso del fallecimiento del fundador, constituyente u originario, la sucesión ilíquida será el declarante de dichos activos, hasta el momento en que los beneficiarios reciban los activos, para lo cual las sociedades intermedias creadas para estos propósitos no serán reconocidas para fines fiscales</w:t>
            </w:r>
          </w:p>
          <w:p w:rsidR="00A45FD7" w:rsidRPr="00A45FD7" w:rsidRDefault="00A45FD7" w:rsidP="00A45FD7">
            <w:pPr>
              <w:jc w:val="both"/>
              <w:rPr>
                <w:rFonts w:ascii="Cambria" w:hAnsi="Cambria"/>
                <w:sz w:val="20"/>
                <w:szCs w:val="20"/>
                <w:highlight w:val="yellow"/>
                <w:lang w:val="es-ES"/>
              </w:rPr>
            </w:pPr>
          </w:p>
        </w:tc>
      </w:tr>
      <w:tr w:rsidR="005B386C" w:rsidTr="005B386C">
        <w:tc>
          <w:tcPr>
            <w:tcW w:w="8784" w:type="dxa"/>
          </w:tcPr>
          <w:p w:rsidR="005B386C" w:rsidRDefault="00A45FD7" w:rsidP="00D20DCD">
            <w:pPr>
              <w:jc w:val="both"/>
              <w:rPr>
                <w:rFonts w:ascii="Cambria" w:hAnsi="Cambria"/>
                <w:sz w:val="20"/>
                <w:szCs w:val="20"/>
                <w:highlight w:val="yellow"/>
              </w:rPr>
            </w:pPr>
            <w:r w:rsidRPr="00D20DCD">
              <w:rPr>
                <w:rFonts w:ascii="Cambria" w:hAnsi="Cambria"/>
                <w:b/>
                <w:bCs/>
                <w:sz w:val="20"/>
                <w:szCs w:val="20"/>
                <w:highlight w:val="yellow"/>
              </w:rPr>
              <w:lastRenderedPageBreak/>
              <w:t xml:space="preserve">Artículo 90. Tarifa. </w:t>
            </w:r>
            <w:r w:rsidRPr="00D20DCD">
              <w:rPr>
                <w:rFonts w:ascii="Cambria" w:hAnsi="Cambria"/>
                <w:sz w:val="20"/>
                <w:szCs w:val="20"/>
                <w:highlight w:val="yellow"/>
              </w:rPr>
              <w:t xml:space="preserve">La tarifa del impuesto complementario de normalización tributaria será del 15% </w:t>
            </w:r>
          </w:p>
          <w:p w:rsidR="00D20DCD" w:rsidRPr="00D20DCD" w:rsidRDefault="00D20DCD" w:rsidP="00D20DCD">
            <w:pPr>
              <w:jc w:val="both"/>
              <w:rPr>
                <w:rFonts w:ascii="Cambria" w:hAnsi="Cambria"/>
                <w:sz w:val="20"/>
                <w:szCs w:val="20"/>
                <w:highlight w:val="yellow"/>
                <w:lang w:val="es-ES"/>
              </w:rPr>
            </w:pPr>
          </w:p>
        </w:tc>
      </w:tr>
      <w:tr w:rsidR="005B386C" w:rsidTr="005B386C">
        <w:tc>
          <w:tcPr>
            <w:tcW w:w="8784" w:type="dxa"/>
          </w:tcPr>
          <w:p w:rsidR="00D20DCD" w:rsidRPr="00D20DCD" w:rsidRDefault="00D20DCD" w:rsidP="00D20DCD">
            <w:pPr>
              <w:jc w:val="both"/>
              <w:rPr>
                <w:rFonts w:ascii="Cambria" w:hAnsi="Cambria"/>
                <w:sz w:val="20"/>
                <w:szCs w:val="20"/>
                <w:highlight w:val="yellow"/>
              </w:rPr>
            </w:pPr>
            <w:r w:rsidRPr="00D20DCD">
              <w:rPr>
                <w:rFonts w:ascii="Cambria" w:hAnsi="Cambria"/>
                <w:b/>
                <w:bCs/>
                <w:color w:val="000000" w:themeColor="text1"/>
                <w:sz w:val="20"/>
                <w:szCs w:val="20"/>
                <w:highlight w:val="yellow"/>
              </w:rPr>
              <w:t>Artículo 91. No habrá lugar a la comparación patrimonial ni a renta líquida gravable por concepto de declaración de activos omitidos</w:t>
            </w:r>
            <w:r w:rsidRPr="00D20DCD">
              <w:rPr>
                <w:rFonts w:ascii="Cambria" w:hAnsi="Cambria"/>
                <w:sz w:val="20"/>
                <w:szCs w:val="20"/>
                <w:highlight w:val="yellow"/>
              </w:rPr>
              <w:t xml:space="preserve">. No habrá lugar a la comparación patrimonial ni a renta líquida gravable por concepto de declaración de activos omitidos o pasivos inexistentes. </w:t>
            </w:r>
          </w:p>
          <w:p w:rsidR="00D20DCD" w:rsidRDefault="00D20DCD" w:rsidP="00D20DCD">
            <w:pPr>
              <w:jc w:val="both"/>
              <w:rPr>
                <w:rFonts w:ascii="Cambria" w:hAnsi="Cambria"/>
                <w:sz w:val="20"/>
                <w:szCs w:val="20"/>
                <w:highlight w:val="yellow"/>
              </w:rPr>
            </w:pPr>
          </w:p>
          <w:p w:rsidR="00D20DCD" w:rsidRPr="00D20DCD" w:rsidRDefault="00D20DCD" w:rsidP="00D20DCD">
            <w:pPr>
              <w:jc w:val="both"/>
              <w:rPr>
                <w:rFonts w:ascii="Cambria" w:hAnsi="Cambria"/>
                <w:sz w:val="20"/>
                <w:szCs w:val="20"/>
                <w:highlight w:val="yellow"/>
              </w:rPr>
            </w:pPr>
            <w:r w:rsidRPr="00D20DCD">
              <w:rPr>
                <w:rFonts w:ascii="Cambria" w:hAnsi="Cambria"/>
                <w:sz w:val="20"/>
                <w:szCs w:val="20"/>
                <w:highlight w:val="yellow"/>
              </w:rPr>
              <w:t xml:space="preserve">Los activos del contribuyente que sean objeto del impuesto complementario de normalización tributaria deberán incluirse para efectos patrimoniales en todas las declaraciones subsiguientes a las que estén obligados. </w:t>
            </w:r>
          </w:p>
          <w:p w:rsidR="00D20DCD" w:rsidRDefault="00D20DCD" w:rsidP="00D20DCD">
            <w:pPr>
              <w:jc w:val="both"/>
              <w:rPr>
                <w:rFonts w:ascii="Cambria" w:hAnsi="Cambria"/>
                <w:sz w:val="20"/>
                <w:szCs w:val="20"/>
                <w:highlight w:val="yellow"/>
              </w:rPr>
            </w:pPr>
          </w:p>
          <w:p w:rsidR="00D20DCD" w:rsidRPr="00D20DCD" w:rsidRDefault="00D20DCD" w:rsidP="00D20DCD">
            <w:pPr>
              <w:jc w:val="both"/>
              <w:rPr>
                <w:rFonts w:ascii="Cambria" w:hAnsi="Cambria"/>
                <w:sz w:val="20"/>
                <w:szCs w:val="20"/>
                <w:highlight w:val="yellow"/>
              </w:rPr>
            </w:pPr>
            <w:r w:rsidRPr="00D20DCD">
              <w:rPr>
                <w:rFonts w:ascii="Cambria" w:hAnsi="Cambria"/>
                <w:sz w:val="20"/>
                <w:szCs w:val="20"/>
                <w:highlight w:val="yellow"/>
              </w:rPr>
              <w:t xml:space="preserve">El incremento patrimonial que pueda generarse por concepto de lo dispuesto en esta norma no dará lugar a la determinación de renta gravable por el sistema de comparación patrimonial, ni generará renta líquida gravable por activos omitidos o subvalorados o pasivos inexistentes, en el año en que se declaren ni en los años anteriores respecto de las declaraciones del impuesto sobre la renta y complementarios. Esta inclusión no generará sanción alguna en el impuesto sobre la renta y complementarios, regímenes sustitutivos del impuesto sobre la renta, ni en el impuesto sobre la ventas -IVA, ni en materia del régimen de precios de transferencia ni en materia de información exógena, ni en materia de declaración anual de activos en el exterior, ni en materia del impuesto al patrimonio. </w:t>
            </w:r>
          </w:p>
          <w:p w:rsidR="00D20DCD" w:rsidRDefault="00D20DCD" w:rsidP="00D20DCD">
            <w:pPr>
              <w:jc w:val="both"/>
              <w:rPr>
                <w:rFonts w:ascii="Cambria" w:hAnsi="Cambria"/>
                <w:sz w:val="20"/>
                <w:szCs w:val="20"/>
                <w:highlight w:val="yellow"/>
              </w:rPr>
            </w:pPr>
          </w:p>
          <w:p w:rsidR="00D20DCD" w:rsidRPr="00D20DCD" w:rsidRDefault="00D20DCD" w:rsidP="00D20DCD">
            <w:pPr>
              <w:jc w:val="both"/>
              <w:rPr>
                <w:rFonts w:ascii="Cambria" w:hAnsi="Cambria" w:cs="Aptos"/>
                <w:sz w:val="20"/>
                <w:szCs w:val="20"/>
                <w:highlight w:val="yellow"/>
              </w:rPr>
            </w:pPr>
            <w:r w:rsidRPr="00D20DCD">
              <w:rPr>
                <w:rFonts w:ascii="Cambria" w:hAnsi="Cambria"/>
                <w:sz w:val="20"/>
                <w:szCs w:val="20"/>
                <w:highlight w:val="yellow"/>
              </w:rPr>
              <w:t xml:space="preserve">Tampoco generará acción penal por la omisión de activos omitidos o pasivos inexistentes, que hayan quedado sujetos al impuesto complementario de normalización tributaria. </w:t>
            </w:r>
          </w:p>
          <w:p w:rsidR="00D20DCD" w:rsidRPr="00D20DCD" w:rsidRDefault="00D20DCD" w:rsidP="00D20DCD">
            <w:pPr>
              <w:jc w:val="both"/>
              <w:rPr>
                <w:rFonts w:ascii="Cambria" w:hAnsi="Cambria" w:cstheme="minorBidi"/>
                <w:sz w:val="20"/>
                <w:szCs w:val="20"/>
                <w:highlight w:val="yellow"/>
              </w:rPr>
            </w:pPr>
          </w:p>
          <w:p w:rsidR="005B386C" w:rsidRDefault="00D20DCD" w:rsidP="00D20DCD">
            <w:pPr>
              <w:jc w:val="both"/>
              <w:rPr>
                <w:rFonts w:ascii="Cambria" w:hAnsi="Cambria"/>
                <w:sz w:val="20"/>
                <w:szCs w:val="20"/>
                <w:highlight w:val="yellow"/>
              </w:rPr>
            </w:pPr>
            <w:r w:rsidRPr="00D20DCD">
              <w:rPr>
                <w:rFonts w:ascii="Cambria" w:hAnsi="Cambria" w:cstheme="minorBidi"/>
                <w:sz w:val="20"/>
                <w:szCs w:val="20"/>
                <w:highlight w:val="yellow"/>
              </w:rPr>
              <w:t xml:space="preserve">Parágrafo. </w:t>
            </w:r>
            <w:r w:rsidRPr="00D20DCD">
              <w:rPr>
                <w:rFonts w:ascii="Cambria" w:hAnsi="Cambria"/>
                <w:sz w:val="20"/>
                <w:szCs w:val="20"/>
                <w:highlight w:val="yellow"/>
              </w:rPr>
              <w:t xml:space="preserve">El registro extemporáneo ante el Banco de la República de las inversiones financieras y en activos en el exterior y sus movimientos de que trata el régimen de cambios internacionales expedido por la Junta Directiva del Banco de la República en ejercicio de los literales h) e i) del artículo 16 de la Ley 31 de 1992 y de la inversión de capital colombiano en el exterior y sus movimientos, de que trata el régimen de inversiones internacionales expedido por el Gobierno nacional en ejercicio del artículo 15 de la Ley 9 de 1991, objeto del impuesto complementario de normalización tributaria, no generará </w:t>
            </w:r>
            <w:r w:rsidRPr="00D20DCD">
              <w:rPr>
                <w:rFonts w:ascii="Cambria" w:hAnsi="Cambria"/>
                <w:sz w:val="20"/>
                <w:szCs w:val="20"/>
                <w:highlight w:val="yellow"/>
              </w:rPr>
              <w:lastRenderedPageBreak/>
              <w:t xml:space="preserve">infracción cambiaria. Para efectos de lo anterior, en la presentación de la solicitud de registro ante el Banco de la República de dichos activos se deberá indicar el número de radicación o de autoadhesivo de la declaración tributaria del impuesto de normalización tributaria en la que fueron incluidos. </w:t>
            </w:r>
          </w:p>
          <w:p w:rsidR="00D20DCD" w:rsidRPr="00D20DCD" w:rsidRDefault="00D20DCD" w:rsidP="00D20DCD">
            <w:pPr>
              <w:jc w:val="both"/>
              <w:rPr>
                <w:rFonts w:ascii="Cambria" w:hAnsi="Cambria"/>
                <w:sz w:val="20"/>
                <w:szCs w:val="20"/>
                <w:highlight w:val="yellow"/>
                <w:lang w:val="es-ES"/>
              </w:rPr>
            </w:pPr>
          </w:p>
        </w:tc>
      </w:tr>
      <w:tr w:rsidR="005B386C" w:rsidTr="005B386C">
        <w:tc>
          <w:tcPr>
            <w:tcW w:w="8784" w:type="dxa"/>
          </w:tcPr>
          <w:p w:rsidR="00D20DCD" w:rsidRPr="00D20DCD" w:rsidRDefault="00D20DCD" w:rsidP="00D20DCD">
            <w:pPr>
              <w:jc w:val="both"/>
              <w:rPr>
                <w:rFonts w:ascii="Cambria" w:hAnsi="Cambria"/>
                <w:sz w:val="20"/>
                <w:szCs w:val="20"/>
                <w:highlight w:val="yellow"/>
              </w:rPr>
            </w:pPr>
            <w:r w:rsidRPr="00D20DCD">
              <w:rPr>
                <w:rFonts w:ascii="Cambria" w:hAnsi="Cambria"/>
                <w:b/>
                <w:bCs/>
                <w:sz w:val="20"/>
                <w:szCs w:val="20"/>
                <w:highlight w:val="yellow"/>
              </w:rPr>
              <w:lastRenderedPageBreak/>
              <w:t xml:space="preserve">Artículo 92. No legalización. </w:t>
            </w:r>
            <w:r w:rsidRPr="00D20DCD">
              <w:rPr>
                <w:rFonts w:ascii="Cambria" w:hAnsi="Cambria"/>
                <w:sz w:val="20"/>
                <w:szCs w:val="20"/>
                <w:highlight w:val="yellow"/>
              </w:rPr>
              <w:t xml:space="preserve">La normalización tributaria de los activos a la que se refiere la presente ley no implica la legalización de los activos cuyo origen fuere ilícito o estuvieren relacionados, directa o indirectamente, con el lavado de activos o la financiación del terrorismo. </w:t>
            </w:r>
          </w:p>
          <w:p w:rsidR="00D20DCD" w:rsidRDefault="00D20DCD" w:rsidP="00D20DCD">
            <w:pPr>
              <w:jc w:val="both"/>
              <w:rPr>
                <w:rFonts w:ascii="Cambria" w:hAnsi="Cambria"/>
                <w:sz w:val="20"/>
                <w:szCs w:val="20"/>
                <w:highlight w:val="yellow"/>
              </w:rPr>
            </w:pPr>
          </w:p>
          <w:p w:rsidR="005B386C" w:rsidRPr="00D20DCD" w:rsidRDefault="00D20DCD" w:rsidP="00D20DCD">
            <w:pPr>
              <w:jc w:val="both"/>
              <w:rPr>
                <w:rFonts w:ascii="Cambria" w:hAnsi="Cambria"/>
                <w:sz w:val="20"/>
                <w:szCs w:val="20"/>
                <w:highlight w:val="yellow"/>
              </w:rPr>
            </w:pPr>
            <w:r w:rsidRPr="00D20DCD">
              <w:rPr>
                <w:rFonts w:ascii="Cambria" w:hAnsi="Cambria"/>
                <w:sz w:val="20"/>
                <w:szCs w:val="20"/>
                <w:highlight w:val="yellow"/>
              </w:rPr>
              <w:t xml:space="preserve">La normalización de activos realizada en cualquier tiempo no dará lugar, en ningún caso, a la persecución fiscal o penal, a menos que se acredite el origen ilícito de los recursos por cualquiera de los delitos contemplados en el Código Penal </w:t>
            </w:r>
          </w:p>
          <w:p w:rsidR="00D20DCD" w:rsidRPr="00D20DCD" w:rsidRDefault="00D20DCD" w:rsidP="00D20DCD">
            <w:pPr>
              <w:jc w:val="both"/>
              <w:rPr>
                <w:rFonts w:ascii="Cambria" w:hAnsi="Cambria"/>
                <w:sz w:val="20"/>
                <w:szCs w:val="20"/>
                <w:highlight w:val="yellow"/>
                <w:lang w:val="es-ES"/>
              </w:rPr>
            </w:pPr>
          </w:p>
        </w:tc>
      </w:tr>
      <w:tr w:rsidR="005B386C" w:rsidTr="005B386C">
        <w:tc>
          <w:tcPr>
            <w:tcW w:w="8784" w:type="dxa"/>
          </w:tcPr>
          <w:p w:rsidR="005B386C" w:rsidRPr="00D20DCD" w:rsidRDefault="00D20DCD" w:rsidP="00D20DCD">
            <w:pPr>
              <w:jc w:val="both"/>
              <w:rPr>
                <w:rFonts w:ascii="Cambria" w:hAnsi="Cambria"/>
                <w:sz w:val="20"/>
                <w:szCs w:val="20"/>
                <w:highlight w:val="yellow"/>
              </w:rPr>
            </w:pPr>
            <w:r w:rsidRPr="00D20DCD">
              <w:rPr>
                <w:rFonts w:ascii="Cambria" w:hAnsi="Cambria"/>
                <w:b/>
                <w:bCs/>
                <w:sz w:val="20"/>
                <w:szCs w:val="20"/>
                <w:highlight w:val="yellow"/>
              </w:rPr>
              <w:t xml:space="preserve">Artículo 93. Saneamiento de activos. </w:t>
            </w:r>
            <w:r w:rsidRPr="00D20DCD">
              <w:rPr>
                <w:rFonts w:ascii="Cambria" w:hAnsi="Cambria"/>
                <w:sz w:val="20"/>
                <w:szCs w:val="20"/>
                <w:highlight w:val="yellow"/>
              </w:rPr>
              <w:t xml:space="preserve">Cuando los contribuyentes tengan declarados sus activos, diferentes a inventarios, por un valor inferior al de mercado, podrán actualizar su valor incluyendo las sumas adicionales como base gravable del impuesto de normalización. </w:t>
            </w:r>
          </w:p>
          <w:p w:rsidR="00D20DCD" w:rsidRPr="00D20DCD" w:rsidRDefault="00D20DCD" w:rsidP="00D20DCD">
            <w:pPr>
              <w:jc w:val="both"/>
              <w:rPr>
                <w:rFonts w:ascii="Cambria" w:hAnsi="Cambria"/>
                <w:sz w:val="20"/>
                <w:szCs w:val="20"/>
                <w:highlight w:val="yellow"/>
                <w:lang w:val="es-ES"/>
              </w:rPr>
            </w:pPr>
          </w:p>
        </w:tc>
      </w:tr>
      <w:tr w:rsidR="005B386C" w:rsidTr="005B386C">
        <w:tc>
          <w:tcPr>
            <w:tcW w:w="8784" w:type="dxa"/>
          </w:tcPr>
          <w:p w:rsidR="00D20DCD" w:rsidRPr="00D20DCD" w:rsidRDefault="00D20DCD" w:rsidP="00D20DCD">
            <w:pPr>
              <w:jc w:val="both"/>
              <w:rPr>
                <w:rFonts w:ascii="Cambria" w:hAnsi="Cambria"/>
                <w:sz w:val="20"/>
                <w:szCs w:val="20"/>
                <w:highlight w:val="yellow"/>
              </w:rPr>
            </w:pPr>
            <w:r w:rsidRPr="00D20DCD">
              <w:rPr>
                <w:rFonts w:ascii="Cambria" w:hAnsi="Cambria"/>
                <w:b/>
                <w:bCs/>
                <w:sz w:val="20"/>
                <w:szCs w:val="20"/>
                <w:highlight w:val="yellow"/>
              </w:rPr>
              <w:t xml:space="preserve">Artículo 94. Normas de procedimiento. </w:t>
            </w:r>
            <w:r w:rsidRPr="00D20DCD">
              <w:rPr>
                <w:rFonts w:ascii="Cambria" w:hAnsi="Cambria"/>
                <w:sz w:val="20"/>
                <w:szCs w:val="20"/>
                <w:highlight w:val="yellow"/>
              </w:rPr>
              <w:t xml:space="preserve">El impuesto complementario de normalización tributaria se somete a las normas sobre declaración, pago, administración y control contempladas en los artículos 298, 298-1, 298-2 y demás disposiciones concordantes del Estatuto Tributario, que sean compatibles con la naturaleza del impuesto complementario de normalización tributaria. </w:t>
            </w:r>
          </w:p>
          <w:p w:rsidR="00D20DCD" w:rsidRDefault="00D20DCD" w:rsidP="00D20DCD">
            <w:pPr>
              <w:jc w:val="both"/>
              <w:rPr>
                <w:rFonts w:ascii="Cambria" w:hAnsi="Cambria"/>
                <w:sz w:val="20"/>
                <w:szCs w:val="20"/>
                <w:highlight w:val="yellow"/>
              </w:rPr>
            </w:pPr>
          </w:p>
          <w:p w:rsidR="00D20DCD" w:rsidRPr="00D20DCD" w:rsidRDefault="00D20DCD" w:rsidP="00D20DCD">
            <w:pPr>
              <w:jc w:val="both"/>
              <w:rPr>
                <w:rFonts w:ascii="Cambria" w:hAnsi="Cambria"/>
                <w:sz w:val="20"/>
                <w:szCs w:val="20"/>
                <w:highlight w:val="yellow"/>
              </w:rPr>
            </w:pPr>
            <w:r w:rsidRPr="00D20DCD">
              <w:rPr>
                <w:rFonts w:ascii="Cambria" w:hAnsi="Cambria"/>
                <w:sz w:val="20"/>
                <w:szCs w:val="20"/>
                <w:highlight w:val="yellow"/>
              </w:rPr>
              <w:t xml:space="preserve">El impuesto complementario de normalización se declarará, liquidará y pagará en una declaración independiente, que será presentada a más tardar el 31 de julio de 2026. Dicha declaración no permite presentación extemporánea por parte de los contribuyentes, ni corrección después de dicho vencimiento para declarar. </w:t>
            </w:r>
          </w:p>
          <w:p w:rsidR="00D20DCD" w:rsidRDefault="00D20DCD" w:rsidP="00D20DCD">
            <w:pPr>
              <w:jc w:val="both"/>
              <w:rPr>
                <w:rFonts w:ascii="Cambria" w:hAnsi="Cambria"/>
                <w:b/>
                <w:bCs/>
                <w:sz w:val="20"/>
                <w:szCs w:val="20"/>
                <w:highlight w:val="yellow"/>
              </w:rPr>
            </w:pPr>
          </w:p>
          <w:p w:rsidR="005B386C" w:rsidRDefault="00D20DCD" w:rsidP="00D20DCD">
            <w:pPr>
              <w:jc w:val="both"/>
              <w:rPr>
                <w:rFonts w:ascii="Cambria" w:hAnsi="Cambria"/>
                <w:sz w:val="20"/>
                <w:szCs w:val="20"/>
                <w:highlight w:val="yellow"/>
              </w:rPr>
            </w:pPr>
            <w:r w:rsidRPr="00D20DCD">
              <w:rPr>
                <w:rFonts w:ascii="Cambria" w:hAnsi="Cambria"/>
                <w:b/>
                <w:bCs/>
                <w:sz w:val="20"/>
                <w:szCs w:val="20"/>
                <w:highlight w:val="yellow"/>
              </w:rPr>
              <w:t xml:space="preserve">Parágrafo 1. </w:t>
            </w:r>
            <w:r w:rsidRPr="00D20DCD">
              <w:rPr>
                <w:rFonts w:ascii="Cambria" w:hAnsi="Cambria"/>
                <w:sz w:val="20"/>
                <w:szCs w:val="20"/>
                <w:highlight w:val="yellow"/>
              </w:rPr>
              <w:t xml:space="preserve">Sin perjuicio de las acciones penales a que haya lugar, la Unidad Administración Especial Dirección de Impuestos y Aduanas Nacionales -DIAN tiene la facultad de desconocer toda operación o serie de operaciones cuyo propósito sea eludir la aplicación de las disposiciones de que trata este capítulo de la presente ley, de conformidad con el artículo 869 y siguientes del Estatuto Tributario. </w:t>
            </w:r>
          </w:p>
          <w:p w:rsidR="00D20DCD" w:rsidRPr="00D20DCD" w:rsidRDefault="00D20DCD" w:rsidP="00D20DCD">
            <w:pPr>
              <w:jc w:val="both"/>
              <w:rPr>
                <w:rFonts w:ascii="Cambria" w:hAnsi="Cambria"/>
                <w:sz w:val="20"/>
                <w:szCs w:val="20"/>
                <w:highlight w:val="yellow"/>
                <w:lang w:val="es-ES"/>
              </w:rPr>
            </w:pPr>
          </w:p>
        </w:tc>
      </w:tr>
    </w:tbl>
    <w:p w:rsidR="004E245C" w:rsidRPr="004E245C" w:rsidRDefault="004E245C"/>
    <w:sectPr w:rsidR="004E245C" w:rsidRPr="004E245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F52FF"/>
    <w:multiLevelType w:val="hybridMultilevel"/>
    <w:tmpl w:val="C66214A0"/>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696467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20A"/>
    <w:rsid w:val="00045630"/>
    <w:rsid w:val="00061574"/>
    <w:rsid w:val="00086F23"/>
    <w:rsid w:val="000A0845"/>
    <w:rsid w:val="000C15E2"/>
    <w:rsid w:val="001417DA"/>
    <w:rsid w:val="00172FAC"/>
    <w:rsid w:val="0018580E"/>
    <w:rsid w:val="001A15CF"/>
    <w:rsid w:val="001A1E8E"/>
    <w:rsid w:val="001D6AD8"/>
    <w:rsid w:val="001D7901"/>
    <w:rsid w:val="001D7BD1"/>
    <w:rsid w:val="001E41C9"/>
    <w:rsid w:val="001F3CB3"/>
    <w:rsid w:val="002003F0"/>
    <w:rsid w:val="002213C4"/>
    <w:rsid w:val="002510BD"/>
    <w:rsid w:val="00281C2B"/>
    <w:rsid w:val="00287157"/>
    <w:rsid w:val="002A3225"/>
    <w:rsid w:val="002C59AA"/>
    <w:rsid w:val="002E7F31"/>
    <w:rsid w:val="002F1983"/>
    <w:rsid w:val="002F7281"/>
    <w:rsid w:val="002F7350"/>
    <w:rsid w:val="003042D8"/>
    <w:rsid w:val="00311A6A"/>
    <w:rsid w:val="00320FAF"/>
    <w:rsid w:val="003223B7"/>
    <w:rsid w:val="00325B14"/>
    <w:rsid w:val="0037519B"/>
    <w:rsid w:val="00382696"/>
    <w:rsid w:val="003962EA"/>
    <w:rsid w:val="0041789D"/>
    <w:rsid w:val="00426D7F"/>
    <w:rsid w:val="00480CBA"/>
    <w:rsid w:val="004916A1"/>
    <w:rsid w:val="00497A00"/>
    <w:rsid w:val="00497C51"/>
    <w:rsid w:val="004C0CB2"/>
    <w:rsid w:val="004E245C"/>
    <w:rsid w:val="004F3648"/>
    <w:rsid w:val="005313E3"/>
    <w:rsid w:val="00545769"/>
    <w:rsid w:val="00555916"/>
    <w:rsid w:val="005635C7"/>
    <w:rsid w:val="00563E5A"/>
    <w:rsid w:val="00583AEB"/>
    <w:rsid w:val="00585279"/>
    <w:rsid w:val="0059378C"/>
    <w:rsid w:val="005B386C"/>
    <w:rsid w:val="005C34E7"/>
    <w:rsid w:val="005D1A73"/>
    <w:rsid w:val="005D22C1"/>
    <w:rsid w:val="005F076B"/>
    <w:rsid w:val="005F4F5A"/>
    <w:rsid w:val="00603453"/>
    <w:rsid w:val="00645974"/>
    <w:rsid w:val="00646E92"/>
    <w:rsid w:val="0065720A"/>
    <w:rsid w:val="006806D5"/>
    <w:rsid w:val="00693B4F"/>
    <w:rsid w:val="006B10FA"/>
    <w:rsid w:val="006C524F"/>
    <w:rsid w:val="006F4C9C"/>
    <w:rsid w:val="00723051"/>
    <w:rsid w:val="007427A0"/>
    <w:rsid w:val="00760DE2"/>
    <w:rsid w:val="00764AC5"/>
    <w:rsid w:val="00776880"/>
    <w:rsid w:val="00785971"/>
    <w:rsid w:val="00787265"/>
    <w:rsid w:val="007E031F"/>
    <w:rsid w:val="00817718"/>
    <w:rsid w:val="00852E78"/>
    <w:rsid w:val="008565BD"/>
    <w:rsid w:val="00856652"/>
    <w:rsid w:val="00860E9D"/>
    <w:rsid w:val="0087796B"/>
    <w:rsid w:val="00880F10"/>
    <w:rsid w:val="00892D15"/>
    <w:rsid w:val="008A74CC"/>
    <w:rsid w:val="008B560A"/>
    <w:rsid w:val="008B637D"/>
    <w:rsid w:val="008B6968"/>
    <w:rsid w:val="008C1FE6"/>
    <w:rsid w:val="008E0F85"/>
    <w:rsid w:val="008F5E58"/>
    <w:rsid w:val="00900D5B"/>
    <w:rsid w:val="00923403"/>
    <w:rsid w:val="00924576"/>
    <w:rsid w:val="009248F1"/>
    <w:rsid w:val="009906F2"/>
    <w:rsid w:val="0099148A"/>
    <w:rsid w:val="009C6591"/>
    <w:rsid w:val="009E279D"/>
    <w:rsid w:val="009E4A96"/>
    <w:rsid w:val="00A00A7B"/>
    <w:rsid w:val="00A018A0"/>
    <w:rsid w:val="00A079E5"/>
    <w:rsid w:val="00A13699"/>
    <w:rsid w:val="00A25070"/>
    <w:rsid w:val="00A45FD7"/>
    <w:rsid w:val="00A4689F"/>
    <w:rsid w:val="00A54FA1"/>
    <w:rsid w:val="00A573BA"/>
    <w:rsid w:val="00A720D0"/>
    <w:rsid w:val="00A90524"/>
    <w:rsid w:val="00AC7F98"/>
    <w:rsid w:val="00B13C71"/>
    <w:rsid w:val="00B83C69"/>
    <w:rsid w:val="00BB2D7C"/>
    <w:rsid w:val="00BC3717"/>
    <w:rsid w:val="00BC4EFF"/>
    <w:rsid w:val="00BC6915"/>
    <w:rsid w:val="00BD7AB5"/>
    <w:rsid w:val="00BE2D86"/>
    <w:rsid w:val="00C223CC"/>
    <w:rsid w:val="00C51CD4"/>
    <w:rsid w:val="00C742BB"/>
    <w:rsid w:val="00C80239"/>
    <w:rsid w:val="00CC04F8"/>
    <w:rsid w:val="00CE7327"/>
    <w:rsid w:val="00D061DD"/>
    <w:rsid w:val="00D1040F"/>
    <w:rsid w:val="00D17C41"/>
    <w:rsid w:val="00D20DCD"/>
    <w:rsid w:val="00D309F4"/>
    <w:rsid w:val="00D4647F"/>
    <w:rsid w:val="00D51D7B"/>
    <w:rsid w:val="00D75C22"/>
    <w:rsid w:val="00D8501A"/>
    <w:rsid w:val="00D87E48"/>
    <w:rsid w:val="00D951FC"/>
    <w:rsid w:val="00DB47D4"/>
    <w:rsid w:val="00DE752B"/>
    <w:rsid w:val="00E62175"/>
    <w:rsid w:val="00E906EC"/>
    <w:rsid w:val="00EE3358"/>
    <w:rsid w:val="00F84688"/>
    <w:rsid w:val="00FB05D6"/>
    <w:rsid w:val="00FB31CB"/>
    <w:rsid w:val="00FB60A2"/>
    <w:rsid w:val="00FB67F6"/>
    <w:rsid w:val="00FC338F"/>
    <w:rsid w:val="00FF33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D1C9BC6"/>
  <w15:chartTrackingRefBased/>
  <w15:docId w15:val="{4C6A5731-0918-7D4E-BA97-C06C0DBF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86C"/>
    <w:rPr>
      <w:rFonts w:ascii="Times New Roman" w:eastAsia="Times New Roman" w:hAnsi="Times New Roman" w:cs="Times New Roman"/>
      <w:kern w:val="0"/>
      <w:lang w:eastAsia="es-MX"/>
      <w14:ligatures w14:val="none"/>
    </w:rPr>
  </w:style>
  <w:style w:type="paragraph" w:styleId="Ttulo1">
    <w:name w:val="heading 1"/>
    <w:basedOn w:val="Normal"/>
    <w:next w:val="Normal"/>
    <w:link w:val="Ttulo1Car"/>
    <w:uiPriority w:val="9"/>
    <w:qFormat/>
    <w:rsid w:val="00F84688"/>
    <w:pPr>
      <w:keepNext/>
      <w:keepLines/>
      <w:spacing w:before="240"/>
      <w:outlineLvl w:val="0"/>
    </w:pPr>
    <w:rPr>
      <w:rFonts w:asciiTheme="majorHAnsi" w:eastAsiaTheme="majorEastAsia" w:hAnsiTheme="majorHAnsi" w:cstheme="majorBidi"/>
      <w:color w:val="2F5496" w:themeColor="accent1" w:themeShade="BF"/>
      <w:kern w:val="2"/>
      <w:sz w:val="32"/>
      <w:szCs w:val="3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57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5720A"/>
    <w:pPr>
      <w:spacing w:after="218" w:line="219" w:lineRule="atLeast"/>
      <w:ind w:left="222"/>
      <w:jc w:val="both"/>
    </w:pPr>
    <w:rPr>
      <w:rFonts w:ascii="Arial" w:eastAsiaTheme="minorHAnsi" w:hAnsi="Arial" w:cs="Arial"/>
      <w:sz w:val="17"/>
      <w:szCs w:val="17"/>
      <w:lang w:val="es-ES_tradnl" w:eastAsia="es-ES_tradnl"/>
    </w:rPr>
  </w:style>
  <w:style w:type="paragraph" w:customStyle="1" w:styleId="Default">
    <w:name w:val="Default"/>
    <w:rsid w:val="0065720A"/>
    <w:pPr>
      <w:autoSpaceDE w:val="0"/>
      <w:autoSpaceDN w:val="0"/>
      <w:adjustRightInd w:val="0"/>
    </w:pPr>
    <w:rPr>
      <w:rFonts w:ascii="Verdana" w:hAnsi="Verdana" w:cs="Verdana"/>
      <w:color w:val="000000"/>
      <w:kern w:val="0"/>
      <w:lang w:val="es-MX"/>
    </w:rPr>
  </w:style>
  <w:style w:type="paragraph" w:styleId="Prrafodelista">
    <w:name w:val="List Paragraph"/>
    <w:basedOn w:val="Normal"/>
    <w:uiPriority w:val="34"/>
    <w:qFormat/>
    <w:rsid w:val="00CC04F8"/>
    <w:pPr>
      <w:ind w:left="720"/>
      <w:contextualSpacing/>
    </w:pPr>
    <w:rPr>
      <w:rFonts w:eastAsiaTheme="minorHAnsi"/>
      <w:lang w:val="es-ES_tradnl" w:eastAsia="es-ES_tradnl"/>
    </w:rPr>
  </w:style>
  <w:style w:type="paragraph" w:styleId="NormalWeb">
    <w:name w:val="Normal (Web)"/>
    <w:basedOn w:val="Normal"/>
    <w:uiPriority w:val="99"/>
    <w:unhideWhenUsed/>
    <w:rsid w:val="00CC04F8"/>
    <w:pPr>
      <w:spacing w:before="100" w:beforeAutospacing="1" w:after="100" w:afterAutospacing="1"/>
    </w:pPr>
  </w:style>
  <w:style w:type="character" w:styleId="Hipervnculo">
    <w:name w:val="Hyperlink"/>
    <w:basedOn w:val="Fuentedeprrafopredeter"/>
    <w:uiPriority w:val="99"/>
    <w:unhideWhenUsed/>
    <w:rsid w:val="00CC04F8"/>
    <w:rPr>
      <w:color w:val="0000FF"/>
      <w:u w:val="single"/>
    </w:rPr>
  </w:style>
  <w:style w:type="character" w:customStyle="1" w:styleId="baj">
    <w:name w:val="b_aj"/>
    <w:basedOn w:val="Fuentedeprrafopredeter"/>
    <w:rsid w:val="000C15E2"/>
  </w:style>
  <w:style w:type="character" w:customStyle="1" w:styleId="iaj">
    <w:name w:val="i_aj"/>
    <w:basedOn w:val="Fuentedeprrafopredeter"/>
    <w:rsid w:val="003042D8"/>
  </w:style>
  <w:style w:type="character" w:styleId="Refdecomentario">
    <w:name w:val="annotation reference"/>
    <w:basedOn w:val="Fuentedeprrafopredeter"/>
    <w:uiPriority w:val="99"/>
    <w:semiHidden/>
    <w:unhideWhenUsed/>
    <w:rsid w:val="008565BD"/>
    <w:rPr>
      <w:sz w:val="18"/>
      <w:szCs w:val="18"/>
    </w:rPr>
  </w:style>
  <w:style w:type="character" w:customStyle="1" w:styleId="Ttulo1Car">
    <w:name w:val="Título 1 Car"/>
    <w:basedOn w:val="Fuentedeprrafopredeter"/>
    <w:link w:val="Ttulo1"/>
    <w:uiPriority w:val="9"/>
    <w:rsid w:val="00F84688"/>
    <w:rPr>
      <w:rFonts w:asciiTheme="majorHAnsi" w:eastAsiaTheme="majorEastAsia" w:hAnsiTheme="majorHAnsi" w:cstheme="majorBidi"/>
      <w:color w:val="2F5496" w:themeColor="accent1" w:themeShade="BF"/>
      <w:sz w:val="32"/>
      <w:szCs w:val="32"/>
    </w:rPr>
  </w:style>
  <w:style w:type="character" w:customStyle="1" w:styleId="letra8pt">
    <w:name w:val="letra8pt"/>
    <w:basedOn w:val="Fuentedeprrafopredeter"/>
    <w:rsid w:val="00787265"/>
  </w:style>
  <w:style w:type="character" w:styleId="Mencinsinresolver">
    <w:name w:val="Unresolved Mention"/>
    <w:basedOn w:val="Fuentedeprrafopredeter"/>
    <w:uiPriority w:val="99"/>
    <w:semiHidden/>
    <w:unhideWhenUsed/>
    <w:rsid w:val="00200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5414">
      <w:bodyDiv w:val="1"/>
      <w:marLeft w:val="0"/>
      <w:marRight w:val="0"/>
      <w:marTop w:val="0"/>
      <w:marBottom w:val="0"/>
      <w:divBdr>
        <w:top w:val="none" w:sz="0" w:space="0" w:color="auto"/>
        <w:left w:val="none" w:sz="0" w:space="0" w:color="auto"/>
        <w:bottom w:val="none" w:sz="0" w:space="0" w:color="auto"/>
        <w:right w:val="none" w:sz="0" w:space="0" w:color="auto"/>
      </w:divBdr>
    </w:div>
    <w:div w:id="50884776">
      <w:bodyDiv w:val="1"/>
      <w:marLeft w:val="0"/>
      <w:marRight w:val="0"/>
      <w:marTop w:val="0"/>
      <w:marBottom w:val="0"/>
      <w:divBdr>
        <w:top w:val="none" w:sz="0" w:space="0" w:color="auto"/>
        <w:left w:val="none" w:sz="0" w:space="0" w:color="auto"/>
        <w:bottom w:val="none" w:sz="0" w:space="0" w:color="auto"/>
        <w:right w:val="none" w:sz="0" w:space="0" w:color="auto"/>
      </w:divBdr>
    </w:div>
    <w:div w:id="80837507">
      <w:bodyDiv w:val="1"/>
      <w:marLeft w:val="0"/>
      <w:marRight w:val="0"/>
      <w:marTop w:val="0"/>
      <w:marBottom w:val="0"/>
      <w:divBdr>
        <w:top w:val="none" w:sz="0" w:space="0" w:color="auto"/>
        <w:left w:val="none" w:sz="0" w:space="0" w:color="auto"/>
        <w:bottom w:val="none" w:sz="0" w:space="0" w:color="auto"/>
        <w:right w:val="none" w:sz="0" w:space="0" w:color="auto"/>
      </w:divBdr>
    </w:div>
    <w:div w:id="83310265">
      <w:bodyDiv w:val="1"/>
      <w:marLeft w:val="0"/>
      <w:marRight w:val="0"/>
      <w:marTop w:val="0"/>
      <w:marBottom w:val="0"/>
      <w:divBdr>
        <w:top w:val="none" w:sz="0" w:space="0" w:color="auto"/>
        <w:left w:val="none" w:sz="0" w:space="0" w:color="auto"/>
        <w:bottom w:val="none" w:sz="0" w:space="0" w:color="auto"/>
        <w:right w:val="none" w:sz="0" w:space="0" w:color="auto"/>
      </w:divBdr>
    </w:div>
    <w:div w:id="90439945">
      <w:bodyDiv w:val="1"/>
      <w:marLeft w:val="0"/>
      <w:marRight w:val="0"/>
      <w:marTop w:val="0"/>
      <w:marBottom w:val="0"/>
      <w:divBdr>
        <w:top w:val="none" w:sz="0" w:space="0" w:color="auto"/>
        <w:left w:val="none" w:sz="0" w:space="0" w:color="auto"/>
        <w:bottom w:val="none" w:sz="0" w:space="0" w:color="auto"/>
        <w:right w:val="none" w:sz="0" w:space="0" w:color="auto"/>
      </w:divBdr>
    </w:div>
    <w:div w:id="106970591">
      <w:bodyDiv w:val="1"/>
      <w:marLeft w:val="0"/>
      <w:marRight w:val="0"/>
      <w:marTop w:val="0"/>
      <w:marBottom w:val="0"/>
      <w:divBdr>
        <w:top w:val="none" w:sz="0" w:space="0" w:color="auto"/>
        <w:left w:val="none" w:sz="0" w:space="0" w:color="auto"/>
        <w:bottom w:val="none" w:sz="0" w:space="0" w:color="auto"/>
        <w:right w:val="none" w:sz="0" w:space="0" w:color="auto"/>
      </w:divBdr>
    </w:div>
    <w:div w:id="131290997">
      <w:bodyDiv w:val="1"/>
      <w:marLeft w:val="0"/>
      <w:marRight w:val="0"/>
      <w:marTop w:val="0"/>
      <w:marBottom w:val="0"/>
      <w:divBdr>
        <w:top w:val="none" w:sz="0" w:space="0" w:color="auto"/>
        <w:left w:val="none" w:sz="0" w:space="0" w:color="auto"/>
        <w:bottom w:val="none" w:sz="0" w:space="0" w:color="auto"/>
        <w:right w:val="none" w:sz="0" w:space="0" w:color="auto"/>
      </w:divBdr>
    </w:div>
    <w:div w:id="180632453">
      <w:bodyDiv w:val="1"/>
      <w:marLeft w:val="0"/>
      <w:marRight w:val="0"/>
      <w:marTop w:val="0"/>
      <w:marBottom w:val="0"/>
      <w:divBdr>
        <w:top w:val="none" w:sz="0" w:space="0" w:color="auto"/>
        <w:left w:val="none" w:sz="0" w:space="0" w:color="auto"/>
        <w:bottom w:val="none" w:sz="0" w:space="0" w:color="auto"/>
        <w:right w:val="none" w:sz="0" w:space="0" w:color="auto"/>
      </w:divBdr>
    </w:div>
    <w:div w:id="198973472">
      <w:bodyDiv w:val="1"/>
      <w:marLeft w:val="0"/>
      <w:marRight w:val="0"/>
      <w:marTop w:val="0"/>
      <w:marBottom w:val="0"/>
      <w:divBdr>
        <w:top w:val="none" w:sz="0" w:space="0" w:color="auto"/>
        <w:left w:val="none" w:sz="0" w:space="0" w:color="auto"/>
        <w:bottom w:val="none" w:sz="0" w:space="0" w:color="auto"/>
        <w:right w:val="none" w:sz="0" w:space="0" w:color="auto"/>
      </w:divBdr>
    </w:div>
    <w:div w:id="284508606">
      <w:bodyDiv w:val="1"/>
      <w:marLeft w:val="0"/>
      <w:marRight w:val="0"/>
      <w:marTop w:val="0"/>
      <w:marBottom w:val="0"/>
      <w:divBdr>
        <w:top w:val="none" w:sz="0" w:space="0" w:color="auto"/>
        <w:left w:val="none" w:sz="0" w:space="0" w:color="auto"/>
        <w:bottom w:val="none" w:sz="0" w:space="0" w:color="auto"/>
        <w:right w:val="none" w:sz="0" w:space="0" w:color="auto"/>
      </w:divBdr>
    </w:div>
    <w:div w:id="334846476">
      <w:bodyDiv w:val="1"/>
      <w:marLeft w:val="0"/>
      <w:marRight w:val="0"/>
      <w:marTop w:val="0"/>
      <w:marBottom w:val="0"/>
      <w:divBdr>
        <w:top w:val="none" w:sz="0" w:space="0" w:color="auto"/>
        <w:left w:val="none" w:sz="0" w:space="0" w:color="auto"/>
        <w:bottom w:val="none" w:sz="0" w:space="0" w:color="auto"/>
        <w:right w:val="none" w:sz="0" w:space="0" w:color="auto"/>
      </w:divBdr>
    </w:div>
    <w:div w:id="337852026">
      <w:bodyDiv w:val="1"/>
      <w:marLeft w:val="0"/>
      <w:marRight w:val="0"/>
      <w:marTop w:val="0"/>
      <w:marBottom w:val="0"/>
      <w:divBdr>
        <w:top w:val="none" w:sz="0" w:space="0" w:color="auto"/>
        <w:left w:val="none" w:sz="0" w:space="0" w:color="auto"/>
        <w:bottom w:val="none" w:sz="0" w:space="0" w:color="auto"/>
        <w:right w:val="none" w:sz="0" w:space="0" w:color="auto"/>
      </w:divBdr>
    </w:div>
    <w:div w:id="369766187">
      <w:bodyDiv w:val="1"/>
      <w:marLeft w:val="0"/>
      <w:marRight w:val="0"/>
      <w:marTop w:val="0"/>
      <w:marBottom w:val="0"/>
      <w:divBdr>
        <w:top w:val="none" w:sz="0" w:space="0" w:color="auto"/>
        <w:left w:val="none" w:sz="0" w:space="0" w:color="auto"/>
        <w:bottom w:val="none" w:sz="0" w:space="0" w:color="auto"/>
        <w:right w:val="none" w:sz="0" w:space="0" w:color="auto"/>
      </w:divBdr>
    </w:div>
    <w:div w:id="395973830">
      <w:bodyDiv w:val="1"/>
      <w:marLeft w:val="0"/>
      <w:marRight w:val="0"/>
      <w:marTop w:val="0"/>
      <w:marBottom w:val="0"/>
      <w:divBdr>
        <w:top w:val="none" w:sz="0" w:space="0" w:color="auto"/>
        <w:left w:val="none" w:sz="0" w:space="0" w:color="auto"/>
        <w:bottom w:val="none" w:sz="0" w:space="0" w:color="auto"/>
        <w:right w:val="none" w:sz="0" w:space="0" w:color="auto"/>
      </w:divBdr>
    </w:div>
    <w:div w:id="396436122">
      <w:bodyDiv w:val="1"/>
      <w:marLeft w:val="0"/>
      <w:marRight w:val="0"/>
      <w:marTop w:val="0"/>
      <w:marBottom w:val="0"/>
      <w:divBdr>
        <w:top w:val="none" w:sz="0" w:space="0" w:color="auto"/>
        <w:left w:val="none" w:sz="0" w:space="0" w:color="auto"/>
        <w:bottom w:val="none" w:sz="0" w:space="0" w:color="auto"/>
        <w:right w:val="none" w:sz="0" w:space="0" w:color="auto"/>
      </w:divBdr>
    </w:div>
    <w:div w:id="404835828">
      <w:bodyDiv w:val="1"/>
      <w:marLeft w:val="0"/>
      <w:marRight w:val="0"/>
      <w:marTop w:val="0"/>
      <w:marBottom w:val="0"/>
      <w:divBdr>
        <w:top w:val="none" w:sz="0" w:space="0" w:color="auto"/>
        <w:left w:val="none" w:sz="0" w:space="0" w:color="auto"/>
        <w:bottom w:val="none" w:sz="0" w:space="0" w:color="auto"/>
        <w:right w:val="none" w:sz="0" w:space="0" w:color="auto"/>
      </w:divBdr>
    </w:div>
    <w:div w:id="411393568">
      <w:bodyDiv w:val="1"/>
      <w:marLeft w:val="0"/>
      <w:marRight w:val="0"/>
      <w:marTop w:val="0"/>
      <w:marBottom w:val="0"/>
      <w:divBdr>
        <w:top w:val="none" w:sz="0" w:space="0" w:color="auto"/>
        <w:left w:val="none" w:sz="0" w:space="0" w:color="auto"/>
        <w:bottom w:val="none" w:sz="0" w:space="0" w:color="auto"/>
        <w:right w:val="none" w:sz="0" w:space="0" w:color="auto"/>
      </w:divBdr>
    </w:div>
    <w:div w:id="450829257">
      <w:bodyDiv w:val="1"/>
      <w:marLeft w:val="0"/>
      <w:marRight w:val="0"/>
      <w:marTop w:val="0"/>
      <w:marBottom w:val="0"/>
      <w:divBdr>
        <w:top w:val="none" w:sz="0" w:space="0" w:color="auto"/>
        <w:left w:val="none" w:sz="0" w:space="0" w:color="auto"/>
        <w:bottom w:val="none" w:sz="0" w:space="0" w:color="auto"/>
        <w:right w:val="none" w:sz="0" w:space="0" w:color="auto"/>
      </w:divBdr>
    </w:div>
    <w:div w:id="546794421">
      <w:bodyDiv w:val="1"/>
      <w:marLeft w:val="0"/>
      <w:marRight w:val="0"/>
      <w:marTop w:val="0"/>
      <w:marBottom w:val="0"/>
      <w:divBdr>
        <w:top w:val="none" w:sz="0" w:space="0" w:color="auto"/>
        <w:left w:val="none" w:sz="0" w:space="0" w:color="auto"/>
        <w:bottom w:val="none" w:sz="0" w:space="0" w:color="auto"/>
        <w:right w:val="none" w:sz="0" w:space="0" w:color="auto"/>
      </w:divBdr>
    </w:div>
    <w:div w:id="591088188">
      <w:bodyDiv w:val="1"/>
      <w:marLeft w:val="0"/>
      <w:marRight w:val="0"/>
      <w:marTop w:val="0"/>
      <w:marBottom w:val="0"/>
      <w:divBdr>
        <w:top w:val="none" w:sz="0" w:space="0" w:color="auto"/>
        <w:left w:val="none" w:sz="0" w:space="0" w:color="auto"/>
        <w:bottom w:val="none" w:sz="0" w:space="0" w:color="auto"/>
        <w:right w:val="none" w:sz="0" w:space="0" w:color="auto"/>
      </w:divBdr>
    </w:div>
    <w:div w:id="596138150">
      <w:bodyDiv w:val="1"/>
      <w:marLeft w:val="0"/>
      <w:marRight w:val="0"/>
      <w:marTop w:val="0"/>
      <w:marBottom w:val="0"/>
      <w:divBdr>
        <w:top w:val="none" w:sz="0" w:space="0" w:color="auto"/>
        <w:left w:val="none" w:sz="0" w:space="0" w:color="auto"/>
        <w:bottom w:val="none" w:sz="0" w:space="0" w:color="auto"/>
        <w:right w:val="none" w:sz="0" w:space="0" w:color="auto"/>
      </w:divBdr>
    </w:div>
    <w:div w:id="606740869">
      <w:bodyDiv w:val="1"/>
      <w:marLeft w:val="0"/>
      <w:marRight w:val="0"/>
      <w:marTop w:val="0"/>
      <w:marBottom w:val="0"/>
      <w:divBdr>
        <w:top w:val="none" w:sz="0" w:space="0" w:color="auto"/>
        <w:left w:val="none" w:sz="0" w:space="0" w:color="auto"/>
        <w:bottom w:val="none" w:sz="0" w:space="0" w:color="auto"/>
        <w:right w:val="none" w:sz="0" w:space="0" w:color="auto"/>
      </w:divBdr>
    </w:div>
    <w:div w:id="616640925">
      <w:bodyDiv w:val="1"/>
      <w:marLeft w:val="0"/>
      <w:marRight w:val="0"/>
      <w:marTop w:val="0"/>
      <w:marBottom w:val="0"/>
      <w:divBdr>
        <w:top w:val="none" w:sz="0" w:space="0" w:color="auto"/>
        <w:left w:val="none" w:sz="0" w:space="0" w:color="auto"/>
        <w:bottom w:val="none" w:sz="0" w:space="0" w:color="auto"/>
        <w:right w:val="none" w:sz="0" w:space="0" w:color="auto"/>
      </w:divBdr>
    </w:div>
    <w:div w:id="757019498">
      <w:bodyDiv w:val="1"/>
      <w:marLeft w:val="0"/>
      <w:marRight w:val="0"/>
      <w:marTop w:val="0"/>
      <w:marBottom w:val="0"/>
      <w:divBdr>
        <w:top w:val="none" w:sz="0" w:space="0" w:color="auto"/>
        <w:left w:val="none" w:sz="0" w:space="0" w:color="auto"/>
        <w:bottom w:val="none" w:sz="0" w:space="0" w:color="auto"/>
        <w:right w:val="none" w:sz="0" w:space="0" w:color="auto"/>
      </w:divBdr>
    </w:div>
    <w:div w:id="782379779">
      <w:bodyDiv w:val="1"/>
      <w:marLeft w:val="0"/>
      <w:marRight w:val="0"/>
      <w:marTop w:val="0"/>
      <w:marBottom w:val="0"/>
      <w:divBdr>
        <w:top w:val="none" w:sz="0" w:space="0" w:color="auto"/>
        <w:left w:val="none" w:sz="0" w:space="0" w:color="auto"/>
        <w:bottom w:val="none" w:sz="0" w:space="0" w:color="auto"/>
        <w:right w:val="none" w:sz="0" w:space="0" w:color="auto"/>
      </w:divBdr>
    </w:div>
    <w:div w:id="902448753">
      <w:bodyDiv w:val="1"/>
      <w:marLeft w:val="0"/>
      <w:marRight w:val="0"/>
      <w:marTop w:val="0"/>
      <w:marBottom w:val="0"/>
      <w:divBdr>
        <w:top w:val="none" w:sz="0" w:space="0" w:color="auto"/>
        <w:left w:val="none" w:sz="0" w:space="0" w:color="auto"/>
        <w:bottom w:val="none" w:sz="0" w:space="0" w:color="auto"/>
        <w:right w:val="none" w:sz="0" w:space="0" w:color="auto"/>
      </w:divBdr>
    </w:div>
    <w:div w:id="947081935">
      <w:bodyDiv w:val="1"/>
      <w:marLeft w:val="0"/>
      <w:marRight w:val="0"/>
      <w:marTop w:val="0"/>
      <w:marBottom w:val="0"/>
      <w:divBdr>
        <w:top w:val="none" w:sz="0" w:space="0" w:color="auto"/>
        <w:left w:val="none" w:sz="0" w:space="0" w:color="auto"/>
        <w:bottom w:val="none" w:sz="0" w:space="0" w:color="auto"/>
        <w:right w:val="none" w:sz="0" w:space="0" w:color="auto"/>
      </w:divBdr>
    </w:div>
    <w:div w:id="1017972480">
      <w:bodyDiv w:val="1"/>
      <w:marLeft w:val="0"/>
      <w:marRight w:val="0"/>
      <w:marTop w:val="0"/>
      <w:marBottom w:val="0"/>
      <w:divBdr>
        <w:top w:val="none" w:sz="0" w:space="0" w:color="auto"/>
        <w:left w:val="none" w:sz="0" w:space="0" w:color="auto"/>
        <w:bottom w:val="none" w:sz="0" w:space="0" w:color="auto"/>
        <w:right w:val="none" w:sz="0" w:space="0" w:color="auto"/>
      </w:divBdr>
    </w:div>
    <w:div w:id="1018778605">
      <w:bodyDiv w:val="1"/>
      <w:marLeft w:val="0"/>
      <w:marRight w:val="0"/>
      <w:marTop w:val="0"/>
      <w:marBottom w:val="0"/>
      <w:divBdr>
        <w:top w:val="none" w:sz="0" w:space="0" w:color="auto"/>
        <w:left w:val="none" w:sz="0" w:space="0" w:color="auto"/>
        <w:bottom w:val="none" w:sz="0" w:space="0" w:color="auto"/>
        <w:right w:val="none" w:sz="0" w:space="0" w:color="auto"/>
      </w:divBdr>
    </w:div>
    <w:div w:id="1024018371">
      <w:bodyDiv w:val="1"/>
      <w:marLeft w:val="0"/>
      <w:marRight w:val="0"/>
      <w:marTop w:val="0"/>
      <w:marBottom w:val="0"/>
      <w:divBdr>
        <w:top w:val="none" w:sz="0" w:space="0" w:color="auto"/>
        <w:left w:val="none" w:sz="0" w:space="0" w:color="auto"/>
        <w:bottom w:val="none" w:sz="0" w:space="0" w:color="auto"/>
        <w:right w:val="none" w:sz="0" w:space="0" w:color="auto"/>
      </w:divBdr>
    </w:div>
    <w:div w:id="1047022992">
      <w:bodyDiv w:val="1"/>
      <w:marLeft w:val="0"/>
      <w:marRight w:val="0"/>
      <w:marTop w:val="0"/>
      <w:marBottom w:val="0"/>
      <w:divBdr>
        <w:top w:val="none" w:sz="0" w:space="0" w:color="auto"/>
        <w:left w:val="none" w:sz="0" w:space="0" w:color="auto"/>
        <w:bottom w:val="none" w:sz="0" w:space="0" w:color="auto"/>
        <w:right w:val="none" w:sz="0" w:space="0" w:color="auto"/>
      </w:divBdr>
    </w:div>
    <w:div w:id="1086465547">
      <w:bodyDiv w:val="1"/>
      <w:marLeft w:val="0"/>
      <w:marRight w:val="0"/>
      <w:marTop w:val="0"/>
      <w:marBottom w:val="0"/>
      <w:divBdr>
        <w:top w:val="none" w:sz="0" w:space="0" w:color="auto"/>
        <w:left w:val="none" w:sz="0" w:space="0" w:color="auto"/>
        <w:bottom w:val="none" w:sz="0" w:space="0" w:color="auto"/>
        <w:right w:val="none" w:sz="0" w:space="0" w:color="auto"/>
      </w:divBdr>
    </w:div>
    <w:div w:id="1123645960">
      <w:bodyDiv w:val="1"/>
      <w:marLeft w:val="0"/>
      <w:marRight w:val="0"/>
      <w:marTop w:val="0"/>
      <w:marBottom w:val="0"/>
      <w:divBdr>
        <w:top w:val="none" w:sz="0" w:space="0" w:color="auto"/>
        <w:left w:val="none" w:sz="0" w:space="0" w:color="auto"/>
        <w:bottom w:val="none" w:sz="0" w:space="0" w:color="auto"/>
        <w:right w:val="none" w:sz="0" w:space="0" w:color="auto"/>
      </w:divBdr>
    </w:div>
    <w:div w:id="1139035330">
      <w:bodyDiv w:val="1"/>
      <w:marLeft w:val="0"/>
      <w:marRight w:val="0"/>
      <w:marTop w:val="0"/>
      <w:marBottom w:val="0"/>
      <w:divBdr>
        <w:top w:val="none" w:sz="0" w:space="0" w:color="auto"/>
        <w:left w:val="none" w:sz="0" w:space="0" w:color="auto"/>
        <w:bottom w:val="none" w:sz="0" w:space="0" w:color="auto"/>
        <w:right w:val="none" w:sz="0" w:space="0" w:color="auto"/>
      </w:divBdr>
    </w:div>
    <w:div w:id="1151407630">
      <w:bodyDiv w:val="1"/>
      <w:marLeft w:val="0"/>
      <w:marRight w:val="0"/>
      <w:marTop w:val="0"/>
      <w:marBottom w:val="0"/>
      <w:divBdr>
        <w:top w:val="none" w:sz="0" w:space="0" w:color="auto"/>
        <w:left w:val="none" w:sz="0" w:space="0" w:color="auto"/>
        <w:bottom w:val="none" w:sz="0" w:space="0" w:color="auto"/>
        <w:right w:val="none" w:sz="0" w:space="0" w:color="auto"/>
      </w:divBdr>
    </w:div>
    <w:div w:id="1179000125">
      <w:bodyDiv w:val="1"/>
      <w:marLeft w:val="0"/>
      <w:marRight w:val="0"/>
      <w:marTop w:val="0"/>
      <w:marBottom w:val="0"/>
      <w:divBdr>
        <w:top w:val="none" w:sz="0" w:space="0" w:color="auto"/>
        <w:left w:val="none" w:sz="0" w:space="0" w:color="auto"/>
        <w:bottom w:val="none" w:sz="0" w:space="0" w:color="auto"/>
        <w:right w:val="none" w:sz="0" w:space="0" w:color="auto"/>
      </w:divBdr>
    </w:div>
    <w:div w:id="1180045844">
      <w:bodyDiv w:val="1"/>
      <w:marLeft w:val="0"/>
      <w:marRight w:val="0"/>
      <w:marTop w:val="0"/>
      <w:marBottom w:val="0"/>
      <w:divBdr>
        <w:top w:val="none" w:sz="0" w:space="0" w:color="auto"/>
        <w:left w:val="none" w:sz="0" w:space="0" w:color="auto"/>
        <w:bottom w:val="none" w:sz="0" w:space="0" w:color="auto"/>
        <w:right w:val="none" w:sz="0" w:space="0" w:color="auto"/>
      </w:divBdr>
    </w:div>
    <w:div w:id="1183398353">
      <w:bodyDiv w:val="1"/>
      <w:marLeft w:val="0"/>
      <w:marRight w:val="0"/>
      <w:marTop w:val="0"/>
      <w:marBottom w:val="0"/>
      <w:divBdr>
        <w:top w:val="none" w:sz="0" w:space="0" w:color="auto"/>
        <w:left w:val="none" w:sz="0" w:space="0" w:color="auto"/>
        <w:bottom w:val="none" w:sz="0" w:space="0" w:color="auto"/>
        <w:right w:val="none" w:sz="0" w:space="0" w:color="auto"/>
      </w:divBdr>
    </w:div>
    <w:div w:id="1254969171">
      <w:bodyDiv w:val="1"/>
      <w:marLeft w:val="0"/>
      <w:marRight w:val="0"/>
      <w:marTop w:val="0"/>
      <w:marBottom w:val="0"/>
      <w:divBdr>
        <w:top w:val="none" w:sz="0" w:space="0" w:color="auto"/>
        <w:left w:val="none" w:sz="0" w:space="0" w:color="auto"/>
        <w:bottom w:val="none" w:sz="0" w:space="0" w:color="auto"/>
        <w:right w:val="none" w:sz="0" w:space="0" w:color="auto"/>
      </w:divBdr>
    </w:div>
    <w:div w:id="1311328144">
      <w:bodyDiv w:val="1"/>
      <w:marLeft w:val="0"/>
      <w:marRight w:val="0"/>
      <w:marTop w:val="0"/>
      <w:marBottom w:val="0"/>
      <w:divBdr>
        <w:top w:val="none" w:sz="0" w:space="0" w:color="auto"/>
        <w:left w:val="none" w:sz="0" w:space="0" w:color="auto"/>
        <w:bottom w:val="none" w:sz="0" w:space="0" w:color="auto"/>
        <w:right w:val="none" w:sz="0" w:space="0" w:color="auto"/>
      </w:divBdr>
    </w:div>
    <w:div w:id="1356810654">
      <w:bodyDiv w:val="1"/>
      <w:marLeft w:val="0"/>
      <w:marRight w:val="0"/>
      <w:marTop w:val="0"/>
      <w:marBottom w:val="0"/>
      <w:divBdr>
        <w:top w:val="none" w:sz="0" w:space="0" w:color="auto"/>
        <w:left w:val="none" w:sz="0" w:space="0" w:color="auto"/>
        <w:bottom w:val="none" w:sz="0" w:space="0" w:color="auto"/>
        <w:right w:val="none" w:sz="0" w:space="0" w:color="auto"/>
      </w:divBdr>
    </w:div>
    <w:div w:id="1420713676">
      <w:bodyDiv w:val="1"/>
      <w:marLeft w:val="0"/>
      <w:marRight w:val="0"/>
      <w:marTop w:val="0"/>
      <w:marBottom w:val="0"/>
      <w:divBdr>
        <w:top w:val="none" w:sz="0" w:space="0" w:color="auto"/>
        <w:left w:val="none" w:sz="0" w:space="0" w:color="auto"/>
        <w:bottom w:val="none" w:sz="0" w:space="0" w:color="auto"/>
        <w:right w:val="none" w:sz="0" w:space="0" w:color="auto"/>
      </w:divBdr>
    </w:div>
    <w:div w:id="1469711128">
      <w:bodyDiv w:val="1"/>
      <w:marLeft w:val="0"/>
      <w:marRight w:val="0"/>
      <w:marTop w:val="0"/>
      <w:marBottom w:val="0"/>
      <w:divBdr>
        <w:top w:val="none" w:sz="0" w:space="0" w:color="auto"/>
        <w:left w:val="none" w:sz="0" w:space="0" w:color="auto"/>
        <w:bottom w:val="none" w:sz="0" w:space="0" w:color="auto"/>
        <w:right w:val="none" w:sz="0" w:space="0" w:color="auto"/>
      </w:divBdr>
    </w:div>
    <w:div w:id="1510946301">
      <w:bodyDiv w:val="1"/>
      <w:marLeft w:val="0"/>
      <w:marRight w:val="0"/>
      <w:marTop w:val="0"/>
      <w:marBottom w:val="0"/>
      <w:divBdr>
        <w:top w:val="none" w:sz="0" w:space="0" w:color="auto"/>
        <w:left w:val="none" w:sz="0" w:space="0" w:color="auto"/>
        <w:bottom w:val="none" w:sz="0" w:space="0" w:color="auto"/>
        <w:right w:val="none" w:sz="0" w:space="0" w:color="auto"/>
      </w:divBdr>
    </w:div>
    <w:div w:id="1523587032">
      <w:bodyDiv w:val="1"/>
      <w:marLeft w:val="0"/>
      <w:marRight w:val="0"/>
      <w:marTop w:val="0"/>
      <w:marBottom w:val="0"/>
      <w:divBdr>
        <w:top w:val="none" w:sz="0" w:space="0" w:color="auto"/>
        <w:left w:val="none" w:sz="0" w:space="0" w:color="auto"/>
        <w:bottom w:val="none" w:sz="0" w:space="0" w:color="auto"/>
        <w:right w:val="none" w:sz="0" w:space="0" w:color="auto"/>
      </w:divBdr>
    </w:div>
    <w:div w:id="1617328457">
      <w:bodyDiv w:val="1"/>
      <w:marLeft w:val="0"/>
      <w:marRight w:val="0"/>
      <w:marTop w:val="0"/>
      <w:marBottom w:val="0"/>
      <w:divBdr>
        <w:top w:val="none" w:sz="0" w:space="0" w:color="auto"/>
        <w:left w:val="none" w:sz="0" w:space="0" w:color="auto"/>
        <w:bottom w:val="none" w:sz="0" w:space="0" w:color="auto"/>
        <w:right w:val="none" w:sz="0" w:space="0" w:color="auto"/>
      </w:divBdr>
    </w:div>
    <w:div w:id="1639648176">
      <w:bodyDiv w:val="1"/>
      <w:marLeft w:val="0"/>
      <w:marRight w:val="0"/>
      <w:marTop w:val="0"/>
      <w:marBottom w:val="0"/>
      <w:divBdr>
        <w:top w:val="none" w:sz="0" w:space="0" w:color="auto"/>
        <w:left w:val="none" w:sz="0" w:space="0" w:color="auto"/>
        <w:bottom w:val="none" w:sz="0" w:space="0" w:color="auto"/>
        <w:right w:val="none" w:sz="0" w:space="0" w:color="auto"/>
      </w:divBdr>
    </w:div>
    <w:div w:id="1652058444">
      <w:bodyDiv w:val="1"/>
      <w:marLeft w:val="0"/>
      <w:marRight w:val="0"/>
      <w:marTop w:val="0"/>
      <w:marBottom w:val="0"/>
      <w:divBdr>
        <w:top w:val="none" w:sz="0" w:space="0" w:color="auto"/>
        <w:left w:val="none" w:sz="0" w:space="0" w:color="auto"/>
        <w:bottom w:val="none" w:sz="0" w:space="0" w:color="auto"/>
        <w:right w:val="none" w:sz="0" w:space="0" w:color="auto"/>
      </w:divBdr>
    </w:div>
    <w:div w:id="1669751512">
      <w:bodyDiv w:val="1"/>
      <w:marLeft w:val="0"/>
      <w:marRight w:val="0"/>
      <w:marTop w:val="0"/>
      <w:marBottom w:val="0"/>
      <w:divBdr>
        <w:top w:val="none" w:sz="0" w:space="0" w:color="auto"/>
        <w:left w:val="none" w:sz="0" w:space="0" w:color="auto"/>
        <w:bottom w:val="none" w:sz="0" w:space="0" w:color="auto"/>
        <w:right w:val="none" w:sz="0" w:space="0" w:color="auto"/>
      </w:divBdr>
    </w:div>
    <w:div w:id="1696300584">
      <w:bodyDiv w:val="1"/>
      <w:marLeft w:val="0"/>
      <w:marRight w:val="0"/>
      <w:marTop w:val="0"/>
      <w:marBottom w:val="0"/>
      <w:divBdr>
        <w:top w:val="none" w:sz="0" w:space="0" w:color="auto"/>
        <w:left w:val="none" w:sz="0" w:space="0" w:color="auto"/>
        <w:bottom w:val="none" w:sz="0" w:space="0" w:color="auto"/>
        <w:right w:val="none" w:sz="0" w:space="0" w:color="auto"/>
      </w:divBdr>
    </w:div>
    <w:div w:id="1698578041">
      <w:bodyDiv w:val="1"/>
      <w:marLeft w:val="0"/>
      <w:marRight w:val="0"/>
      <w:marTop w:val="0"/>
      <w:marBottom w:val="0"/>
      <w:divBdr>
        <w:top w:val="none" w:sz="0" w:space="0" w:color="auto"/>
        <w:left w:val="none" w:sz="0" w:space="0" w:color="auto"/>
        <w:bottom w:val="none" w:sz="0" w:space="0" w:color="auto"/>
        <w:right w:val="none" w:sz="0" w:space="0" w:color="auto"/>
      </w:divBdr>
    </w:div>
    <w:div w:id="1710690606">
      <w:bodyDiv w:val="1"/>
      <w:marLeft w:val="0"/>
      <w:marRight w:val="0"/>
      <w:marTop w:val="0"/>
      <w:marBottom w:val="0"/>
      <w:divBdr>
        <w:top w:val="none" w:sz="0" w:space="0" w:color="auto"/>
        <w:left w:val="none" w:sz="0" w:space="0" w:color="auto"/>
        <w:bottom w:val="none" w:sz="0" w:space="0" w:color="auto"/>
        <w:right w:val="none" w:sz="0" w:space="0" w:color="auto"/>
      </w:divBdr>
    </w:div>
    <w:div w:id="1741830091">
      <w:bodyDiv w:val="1"/>
      <w:marLeft w:val="0"/>
      <w:marRight w:val="0"/>
      <w:marTop w:val="0"/>
      <w:marBottom w:val="0"/>
      <w:divBdr>
        <w:top w:val="none" w:sz="0" w:space="0" w:color="auto"/>
        <w:left w:val="none" w:sz="0" w:space="0" w:color="auto"/>
        <w:bottom w:val="none" w:sz="0" w:space="0" w:color="auto"/>
        <w:right w:val="none" w:sz="0" w:space="0" w:color="auto"/>
      </w:divBdr>
    </w:div>
    <w:div w:id="1779064602">
      <w:bodyDiv w:val="1"/>
      <w:marLeft w:val="0"/>
      <w:marRight w:val="0"/>
      <w:marTop w:val="0"/>
      <w:marBottom w:val="0"/>
      <w:divBdr>
        <w:top w:val="none" w:sz="0" w:space="0" w:color="auto"/>
        <w:left w:val="none" w:sz="0" w:space="0" w:color="auto"/>
        <w:bottom w:val="none" w:sz="0" w:space="0" w:color="auto"/>
        <w:right w:val="none" w:sz="0" w:space="0" w:color="auto"/>
      </w:divBdr>
    </w:div>
    <w:div w:id="1800296151">
      <w:bodyDiv w:val="1"/>
      <w:marLeft w:val="0"/>
      <w:marRight w:val="0"/>
      <w:marTop w:val="0"/>
      <w:marBottom w:val="0"/>
      <w:divBdr>
        <w:top w:val="none" w:sz="0" w:space="0" w:color="auto"/>
        <w:left w:val="none" w:sz="0" w:space="0" w:color="auto"/>
        <w:bottom w:val="none" w:sz="0" w:space="0" w:color="auto"/>
        <w:right w:val="none" w:sz="0" w:space="0" w:color="auto"/>
      </w:divBdr>
    </w:div>
    <w:div w:id="1826819589">
      <w:bodyDiv w:val="1"/>
      <w:marLeft w:val="0"/>
      <w:marRight w:val="0"/>
      <w:marTop w:val="0"/>
      <w:marBottom w:val="0"/>
      <w:divBdr>
        <w:top w:val="none" w:sz="0" w:space="0" w:color="auto"/>
        <w:left w:val="none" w:sz="0" w:space="0" w:color="auto"/>
        <w:bottom w:val="none" w:sz="0" w:space="0" w:color="auto"/>
        <w:right w:val="none" w:sz="0" w:space="0" w:color="auto"/>
      </w:divBdr>
    </w:div>
    <w:div w:id="1904676055">
      <w:bodyDiv w:val="1"/>
      <w:marLeft w:val="0"/>
      <w:marRight w:val="0"/>
      <w:marTop w:val="0"/>
      <w:marBottom w:val="0"/>
      <w:divBdr>
        <w:top w:val="none" w:sz="0" w:space="0" w:color="auto"/>
        <w:left w:val="none" w:sz="0" w:space="0" w:color="auto"/>
        <w:bottom w:val="none" w:sz="0" w:space="0" w:color="auto"/>
        <w:right w:val="none" w:sz="0" w:space="0" w:color="auto"/>
      </w:divBdr>
    </w:div>
    <w:div w:id="1924338226">
      <w:bodyDiv w:val="1"/>
      <w:marLeft w:val="0"/>
      <w:marRight w:val="0"/>
      <w:marTop w:val="0"/>
      <w:marBottom w:val="0"/>
      <w:divBdr>
        <w:top w:val="none" w:sz="0" w:space="0" w:color="auto"/>
        <w:left w:val="none" w:sz="0" w:space="0" w:color="auto"/>
        <w:bottom w:val="none" w:sz="0" w:space="0" w:color="auto"/>
        <w:right w:val="none" w:sz="0" w:space="0" w:color="auto"/>
      </w:divBdr>
    </w:div>
    <w:div w:id="1928420564">
      <w:bodyDiv w:val="1"/>
      <w:marLeft w:val="0"/>
      <w:marRight w:val="0"/>
      <w:marTop w:val="0"/>
      <w:marBottom w:val="0"/>
      <w:divBdr>
        <w:top w:val="none" w:sz="0" w:space="0" w:color="auto"/>
        <w:left w:val="none" w:sz="0" w:space="0" w:color="auto"/>
        <w:bottom w:val="none" w:sz="0" w:space="0" w:color="auto"/>
        <w:right w:val="none" w:sz="0" w:space="0" w:color="auto"/>
      </w:divBdr>
    </w:div>
    <w:div w:id="1961258438">
      <w:bodyDiv w:val="1"/>
      <w:marLeft w:val="0"/>
      <w:marRight w:val="0"/>
      <w:marTop w:val="0"/>
      <w:marBottom w:val="0"/>
      <w:divBdr>
        <w:top w:val="none" w:sz="0" w:space="0" w:color="auto"/>
        <w:left w:val="none" w:sz="0" w:space="0" w:color="auto"/>
        <w:bottom w:val="none" w:sz="0" w:space="0" w:color="auto"/>
        <w:right w:val="none" w:sz="0" w:space="0" w:color="auto"/>
      </w:divBdr>
    </w:div>
    <w:div w:id="1995446518">
      <w:bodyDiv w:val="1"/>
      <w:marLeft w:val="0"/>
      <w:marRight w:val="0"/>
      <w:marTop w:val="0"/>
      <w:marBottom w:val="0"/>
      <w:divBdr>
        <w:top w:val="none" w:sz="0" w:space="0" w:color="auto"/>
        <w:left w:val="none" w:sz="0" w:space="0" w:color="auto"/>
        <w:bottom w:val="none" w:sz="0" w:space="0" w:color="auto"/>
        <w:right w:val="none" w:sz="0" w:space="0" w:color="auto"/>
      </w:divBdr>
    </w:div>
    <w:div w:id="1999141801">
      <w:bodyDiv w:val="1"/>
      <w:marLeft w:val="0"/>
      <w:marRight w:val="0"/>
      <w:marTop w:val="0"/>
      <w:marBottom w:val="0"/>
      <w:divBdr>
        <w:top w:val="none" w:sz="0" w:space="0" w:color="auto"/>
        <w:left w:val="none" w:sz="0" w:space="0" w:color="auto"/>
        <w:bottom w:val="none" w:sz="0" w:space="0" w:color="auto"/>
        <w:right w:val="none" w:sz="0" w:space="0" w:color="auto"/>
      </w:divBdr>
    </w:div>
    <w:div w:id="2015064536">
      <w:bodyDiv w:val="1"/>
      <w:marLeft w:val="0"/>
      <w:marRight w:val="0"/>
      <w:marTop w:val="0"/>
      <w:marBottom w:val="0"/>
      <w:divBdr>
        <w:top w:val="none" w:sz="0" w:space="0" w:color="auto"/>
        <w:left w:val="none" w:sz="0" w:space="0" w:color="auto"/>
        <w:bottom w:val="none" w:sz="0" w:space="0" w:color="auto"/>
        <w:right w:val="none" w:sz="0" w:space="0" w:color="auto"/>
      </w:divBdr>
    </w:div>
    <w:div w:id="2027555461">
      <w:bodyDiv w:val="1"/>
      <w:marLeft w:val="0"/>
      <w:marRight w:val="0"/>
      <w:marTop w:val="0"/>
      <w:marBottom w:val="0"/>
      <w:divBdr>
        <w:top w:val="none" w:sz="0" w:space="0" w:color="auto"/>
        <w:left w:val="none" w:sz="0" w:space="0" w:color="auto"/>
        <w:bottom w:val="none" w:sz="0" w:space="0" w:color="auto"/>
        <w:right w:val="none" w:sz="0" w:space="0" w:color="auto"/>
      </w:divBdr>
    </w:div>
    <w:div w:id="2053770085">
      <w:bodyDiv w:val="1"/>
      <w:marLeft w:val="0"/>
      <w:marRight w:val="0"/>
      <w:marTop w:val="0"/>
      <w:marBottom w:val="0"/>
      <w:divBdr>
        <w:top w:val="none" w:sz="0" w:space="0" w:color="auto"/>
        <w:left w:val="none" w:sz="0" w:space="0" w:color="auto"/>
        <w:bottom w:val="none" w:sz="0" w:space="0" w:color="auto"/>
        <w:right w:val="none" w:sz="0" w:space="0" w:color="auto"/>
      </w:divBdr>
    </w:div>
    <w:div w:id="2091611766">
      <w:bodyDiv w:val="1"/>
      <w:marLeft w:val="0"/>
      <w:marRight w:val="0"/>
      <w:marTop w:val="0"/>
      <w:marBottom w:val="0"/>
      <w:divBdr>
        <w:top w:val="none" w:sz="0" w:space="0" w:color="auto"/>
        <w:left w:val="none" w:sz="0" w:space="0" w:color="auto"/>
        <w:bottom w:val="none" w:sz="0" w:space="0" w:color="auto"/>
        <w:right w:val="none" w:sz="0" w:space="0" w:color="auto"/>
      </w:divBdr>
    </w:div>
    <w:div w:id="210437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rmograma.dian.gov.co/dian/compilacion/docs/estatuto_tributario.htm" TargetMode="External"/><Relationship Id="rId117" Type="http://schemas.openxmlformats.org/officeDocument/2006/relationships/fontTable" Target="fontTable.xml"/><Relationship Id="rId21" Type="http://schemas.openxmlformats.org/officeDocument/2006/relationships/hyperlink" Target="https://normograma.dian.gov.co/dian/compilacion/docs/estatuto_tributario.htm" TargetMode="External"/><Relationship Id="rId42" Type="http://schemas.openxmlformats.org/officeDocument/2006/relationships/hyperlink" Target="https://normograma.dian.gov.co/dian/compilacion/docs/ley_1430_2010.htm" TargetMode="External"/><Relationship Id="rId47" Type="http://schemas.openxmlformats.org/officeDocument/2006/relationships/hyperlink" Target="https://normograma.dian.gov.co/dian/compilacion/docs/ley_2411_2024.htm" TargetMode="External"/><Relationship Id="rId63" Type="http://schemas.openxmlformats.org/officeDocument/2006/relationships/hyperlink" Target="http://www.secretariasenado.gov.co/senado/basedoc/ley_0223_1995_pr005.html" TargetMode="External"/><Relationship Id="rId68" Type="http://schemas.openxmlformats.org/officeDocument/2006/relationships/hyperlink" Target="http://secretariasenado.gov.co/senado/basedoc/ley_1607_2012_pr003.html" TargetMode="External"/><Relationship Id="rId84" Type="http://schemas.openxmlformats.org/officeDocument/2006/relationships/hyperlink" Target="http://www.secretariasenado.gov.co/senado/basedoc/ley_0115_1994.html" TargetMode="External"/><Relationship Id="rId89" Type="http://schemas.openxmlformats.org/officeDocument/2006/relationships/hyperlink" Target="http://www.secretariasenado.gov.co/senado/basedoc/estatuto_tributario_pr034.html" TargetMode="External"/><Relationship Id="rId112" Type="http://schemas.openxmlformats.org/officeDocument/2006/relationships/hyperlink" Target="http://www.secretariasenado.gov.co/senado/basedoc/estatuto_tributario_pr004.html" TargetMode="External"/><Relationship Id="rId16" Type="http://schemas.openxmlformats.org/officeDocument/2006/relationships/hyperlink" Target="https://normograma.dian.gov.co/dian/compilacion/docs/estatuto_tributario.htm" TargetMode="External"/><Relationship Id="rId107" Type="http://schemas.openxmlformats.org/officeDocument/2006/relationships/hyperlink" Target="https://normograma.dian.gov.co/dian/compilacion/docs/estatuto_tributario.htm" TargetMode="External"/><Relationship Id="rId11" Type="http://schemas.openxmlformats.org/officeDocument/2006/relationships/hyperlink" Target="https://normograma.dian.gov.co/dian/compilacion/docs/estatuto_tributario.htm" TargetMode="External"/><Relationship Id="rId32" Type="http://schemas.openxmlformats.org/officeDocument/2006/relationships/hyperlink" Target="https://normograma.dian.gov.co/dian/compilacion/docs/estatuto_tributario.htm" TargetMode="External"/><Relationship Id="rId37" Type="http://schemas.openxmlformats.org/officeDocument/2006/relationships/hyperlink" Target="https://normograma.dian.gov.co/dian/compilacion/docs/estatuto_tributario.htm" TargetMode="External"/><Relationship Id="rId53" Type="http://schemas.openxmlformats.org/officeDocument/2006/relationships/hyperlink" Target="https://normograma.dian.gov.co/dian/compilacion/docs/estatuto_tributario.htm" TargetMode="External"/><Relationship Id="rId58" Type="http://schemas.openxmlformats.org/officeDocument/2006/relationships/hyperlink" Target="http://www.secretariasenado.gov.co/senado/basedoc/ley_0223_1995_pr005.html" TargetMode="External"/><Relationship Id="rId74" Type="http://schemas.openxmlformats.org/officeDocument/2006/relationships/hyperlink" Target="http://www.secretariasenado.gov.co/senado/basedoc/ley_0100_1993_pr002.html" TargetMode="External"/><Relationship Id="rId79" Type="http://schemas.openxmlformats.org/officeDocument/2006/relationships/hyperlink" Target="http://www.secretariasenado.gov.co/senado/basedoc/decreto_1228_1995.html" TargetMode="External"/><Relationship Id="rId102" Type="http://schemas.openxmlformats.org/officeDocument/2006/relationships/hyperlink" Target="https://normograma.dian.gov.co/dian/compilacion/docs/estatuto_tributario.htm" TargetMode="External"/><Relationship Id="rId5" Type="http://schemas.openxmlformats.org/officeDocument/2006/relationships/hyperlink" Target="https://www.camara.gov.co/ley-de-financiamiento-0" TargetMode="External"/><Relationship Id="rId90" Type="http://schemas.openxmlformats.org/officeDocument/2006/relationships/hyperlink" Target="http://www.secretariasenado.gov.co/senado/basedoc/estatuto_tributario_pr034.html" TargetMode="External"/><Relationship Id="rId95" Type="http://schemas.openxmlformats.org/officeDocument/2006/relationships/hyperlink" Target="https://normograma.dian.gov.co/dian/compilacion/docs/estatuto_tributario.htm" TargetMode="External"/><Relationship Id="rId22" Type="http://schemas.openxmlformats.org/officeDocument/2006/relationships/hyperlink" Target="https://normograma.dian.gov.co/dian/compilacion/docs/estatuto_tributario.htm" TargetMode="External"/><Relationship Id="rId27" Type="http://schemas.openxmlformats.org/officeDocument/2006/relationships/hyperlink" Target="https://normograma.dian.gov.co/dian/compilacion/docs/estatuto_tributario.htm" TargetMode="External"/><Relationship Id="rId43" Type="http://schemas.openxmlformats.org/officeDocument/2006/relationships/hyperlink" Target="https://normograma.dian.gov.co/dian/compilacion/docs/ley_1430_2010.htm" TargetMode="External"/><Relationship Id="rId48" Type="http://schemas.openxmlformats.org/officeDocument/2006/relationships/hyperlink" Target="https://normograma.dian.gov.co/dian/compilacion/docs/ley_2411_2024.htm" TargetMode="External"/><Relationship Id="rId64" Type="http://schemas.openxmlformats.org/officeDocument/2006/relationships/hyperlink" Target="http://www.secretariasenado.gov.co/senado/basedoc/ley_1739_2014_pr001.html" TargetMode="External"/><Relationship Id="rId69" Type="http://schemas.openxmlformats.org/officeDocument/2006/relationships/hyperlink" Target="http://secretariasenado.gov.co/senado/basedoc/estatuto_tributario_pr018.html" TargetMode="External"/><Relationship Id="rId113" Type="http://schemas.openxmlformats.org/officeDocument/2006/relationships/hyperlink" Target="http://www.secretariasenado.gov.co/senado/basedoc/estatuto_tributario_pr004.html" TargetMode="External"/><Relationship Id="rId118" Type="http://schemas.openxmlformats.org/officeDocument/2006/relationships/theme" Target="theme/theme1.xml"/><Relationship Id="rId80" Type="http://schemas.openxmlformats.org/officeDocument/2006/relationships/hyperlink" Target="http://www.secretariasenado.gov.co/senado/basedoc/estatuto_tributario_pr019.html" TargetMode="External"/><Relationship Id="rId85" Type="http://schemas.openxmlformats.org/officeDocument/2006/relationships/hyperlink" Target="http://www.secretariasenado.gov.co/senado/basedoc/estatuto_tributario_pr018.html" TargetMode="External"/><Relationship Id="rId12" Type="http://schemas.openxmlformats.org/officeDocument/2006/relationships/hyperlink" Target="https://normograma.dian.gov.co/dian/compilacion/docs/estatuto_tributario.htm" TargetMode="External"/><Relationship Id="rId17" Type="http://schemas.openxmlformats.org/officeDocument/2006/relationships/hyperlink" Target="http://www.secretariasenado.gov.co/senado/basedoc/estatuto_tributario_pr003.html" TargetMode="External"/><Relationship Id="rId33" Type="http://schemas.openxmlformats.org/officeDocument/2006/relationships/hyperlink" Target="https://normograma.dian.gov.co/dian/compilacion/docs/estatuto_tributario.htm" TargetMode="External"/><Relationship Id="rId38" Type="http://schemas.openxmlformats.org/officeDocument/2006/relationships/hyperlink" Target="https://normograma.dian.gov.co/dian/compilacion/docs/estatuto_tributario.htm" TargetMode="External"/><Relationship Id="rId59" Type="http://schemas.openxmlformats.org/officeDocument/2006/relationships/hyperlink" Target="http://www.secretariasenado.gov.co/senado/basedoc/ley_1739_2014_pr001.html" TargetMode="External"/><Relationship Id="rId103" Type="http://schemas.openxmlformats.org/officeDocument/2006/relationships/hyperlink" Target="https://normograma.dian.gov.co/dian/compilacion/docs/estatuto_tributario.htm" TargetMode="External"/><Relationship Id="rId108" Type="http://schemas.openxmlformats.org/officeDocument/2006/relationships/hyperlink" Target="https://normograma.dian.gov.co/dian/compilacion/docs/estatuto_tributario.htm" TargetMode="External"/><Relationship Id="rId54" Type="http://schemas.openxmlformats.org/officeDocument/2006/relationships/hyperlink" Target="http://www.secretariasenado.gov.co/senado/basedoc/ley_1753_2015_pr003.html" TargetMode="External"/><Relationship Id="rId70" Type="http://schemas.openxmlformats.org/officeDocument/2006/relationships/hyperlink" Target="http://secretariasenado.gov.co/senado/basedoc/ley_1955_2019_pr001.html" TargetMode="External"/><Relationship Id="rId75" Type="http://schemas.openxmlformats.org/officeDocument/2006/relationships/hyperlink" Target="http://www.secretariasenado.gov.co/senado/basedoc/ley_0030_1992.html" TargetMode="External"/><Relationship Id="rId91" Type="http://schemas.openxmlformats.org/officeDocument/2006/relationships/hyperlink" Target="https://normograma.dian.gov.co/dian/compilacion/docs/estatuto_tributario.htm" TargetMode="External"/><Relationship Id="rId96" Type="http://schemas.openxmlformats.org/officeDocument/2006/relationships/hyperlink" Target="https://normograma.dian.gov.co/dian/compilacion/docs/ley_1341_2009.htm" TargetMode="External"/><Relationship Id="rId1" Type="http://schemas.openxmlformats.org/officeDocument/2006/relationships/numbering" Target="numbering.xml"/><Relationship Id="rId6" Type="http://schemas.openxmlformats.org/officeDocument/2006/relationships/hyperlink" Target="https://actualicese.com/cuadro-tematico-con-las-normas-afectadas-por-el-proyecto-de-ley-de-reforma-tributaria-radicado-en-septiembre-2025/" TargetMode="External"/><Relationship Id="rId23" Type="http://schemas.openxmlformats.org/officeDocument/2006/relationships/hyperlink" Target="https://normograma.dian.gov.co/dian/compilacion/docs/estatuto_tributario.htm" TargetMode="External"/><Relationship Id="rId28" Type="http://schemas.openxmlformats.org/officeDocument/2006/relationships/hyperlink" Target="https://normograma.dian.gov.co/dian/compilacion/docs/estatuto_tributario.htm" TargetMode="External"/><Relationship Id="rId49" Type="http://schemas.openxmlformats.org/officeDocument/2006/relationships/hyperlink" Target="https://normograma.dian.gov.co/dian/compilacion/docs/ley_2411_2024.htm" TargetMode="External"/><Relationship Id="rId114" Type="http://schemas.openxmlformats.org/officeDocument/2006/relationships/hyperlink" Target="http://www.secretariasenado.gov.co/senado/basedoc/ley_1698_2013.html" TargetMode="External"/><Relationship Id="rId10" Type="http://schemas.openxmlformats.org/officeDocument/2006/relationships/hyperlink" Target="http://www.secretariasenado.gov.co/senado/basedoc/estatuto_tributario_pr005.html" TargetMode="External"/><Relationship Id="rId31" Type="http://schemas.openxmlformats.org/officeDocument/2006/relationships/hyperlink" Target="https://normograma.dian.gov.co/dian/compilacion/docs/estatuto_tributario.htm" TargetMode="External"/><Relationship Id="rId44" Type="http://schemas.openxmlformats.org/officeDocument/2006/relationships/hyperlink" Target="https://normograma.dian.gov.co/dian/compilacion/docs/estatuto_tributario.htm" TargetMode="External"/><Relationship Id="rId52" Type="http://schemas.openxmlformats.org/officeDocument/2006/relationships/hyperlink" Target="https://normograma.dian.gov.co/dian/compilacion/docs/estatuto_tributario.htm" TargetMode="External"/><Relationship Id="rId60" Type="http://schemas.openxmlformats.org/officeDocument/2006/relationships/hyperlink" Target="http://www.secretariasenado.gov.co/senado/basedoc/estatuto_tributario.html" TargetMode="External"/><Relationship Id="rId65" Type="http://schemas.openxmlformats.org/officeDocument/2006/relationships/hyperlink" Target="http://www.secretariasenado.gov.co/senado/basedoc/estatuto_tributario.html" TargetMode="External"/><Relationship Id="rId73" Type="http://schemas.openxmlformats.org/officeDocument/2006/relationships/hyperlink" Target="http://www.secretariasenado.gov.co/senado/basedoc/ley_0100_1993.html" TargetMode="External"/><Relationship Id="rId78" Type="http://schemas.openxmlformats.org/officeDocument/2006/relationships/hyperlink" Target="http://www.secretariasenado.gov.co/senado/basedoc/estatuto_tributario_pr025.html" TargetMode="External"/><Relationship Id="rId81" Type="http://schemas.openxmlformats.org/officeDocument/2006/relationships/hyperlink" Target="http://www.secretariasenado.gov.co/senado/basedoc/ley_0100_1993.html" TargetMode="External"/><Relationship Id="rId86" Type="http://schemas.openxmlformats.org/officeDocument/2006/relationships/hyperlink" Target="http://www.secretariasenado.gov.co/senado/basedoc/estatuto_tributario_pr025.html" TargetMode="External"/><Relationship Id="rId94" Type="http://schemas.openxmlformats.org/officeDocument/2006/relationships/hyperlink" Target="https://normograma.dian.gov.co/dian/compilacion/docs/estatuto_tributario.htm" TargetMode="External"/><Relationship Id="rId99" Type="http://schemas.openxmlformats.org/officeDocument/2006/relationships/hyperlink" Target="https://normograma.dian.gov.co/dian/compilacion/docs/ley_2277_2022.htm" TargetMode="External"/><Relationship Id="rId101" Type="http://schemas.openxmlformats.org/officeDocument/2006/relationships/hyperlink" Target="https://normograma.dian.gov.co/dian/compilacion/docs/estatuto_tributario.htm" TargetMode="External"/><Relationship Id="rId4" Type="http://schemas.openxmlformats.org/officeDocument/2006/relationships/webSettings" Target="webSettings.xml"/><Relationship Id="rId9" Type="http://schemas.openxmlformats.org/officeDocument/2006/relationships/hyperlink" Target="http://www.secretariasenado.gov.co/senado/basedoc/estatuto_tributario_pr003.html" TargetMode="External"/><Relationship Id="rId13" Type="http://schemas.openxmlformats.org/officeDocument/2006/relationships/hyperlink" Target="https://normograma.dian.gov.co/dian/compilacion/docs/estatuto_tributario.htm" TargetMode="External"/><Relationship Id="rId18" Type="http://schemas.openxmlformats.org/officeDocument/2006/relationships/hyperlink" Target="https://normograma.dian.gov.co/dian/compilacion/docs/estatuto_tributario.htm" TargetMode="External"/><Relationship Id="rId39" Type="http://schemas.openxmlformats.org/officeDocument/2006/relationships/hyperlink" Target="https://normograma.dian.gov.co/dian/compilacion/docs/estatuto_tributario.htm" TargetMode="External"/><Relationship Id="rId109" Type="http://schemas.openxmlformats.org/officeDocument/2006/relationships/hyperlink" Target="http://www.secretariasenado.gov.co/senado/basedoc/ley_0100_1993_pr005.html" TargetMode="External"/><Relationship Id="rId34" Type="http://schemas.openxmlformats.org/officeDocument/2006/relationships/hyperlink" Target="https://normograma.dian.gov.co/dian/compilacion/docs/estatuto_tributario.htm" TargetMode="External"/><Relationship Id="rId50" Type="http://schemas.openxmlformats.org/officeDocument/2006/relationships/hyperlink" Target="http://www.secretariasenado.gov.co/senado/basedoc/estatuto_tributario_pr019.html" TargetMode="External"/><Relationship Id="rId55" Type="http://schemas.openxmlformats.org/officeDocument/2006/relationships/hyperlink" Target="http://www.secretariasenado.gov.co/senado/basedoc/ley_0098_1993.html" TargetMode="External"/><Relationship Id="rId76" Type="http://schemas.openxmlformats.org/officeDocument/2006/relationships/hyperlink" Target="http://www.secretariasenado.gov.co/senado/basedoc/ley_0115_1994.html" TargetMode="External"/><Relationship Id="rId97" Type="http://schemas.openxmlformats.org/officeDocument/2006/relationships/hyperlink" Target="https://normograma.dian.gov.co/dian/compilacion/docs/estatuto_tributario.htm" TargetMode="External"/><Relationship Id="rId104" Type="http://schemas.openxmlformats.org/officeDocument/2006/relationships/hyperlink" Target="https://normograma.dian.gov.co/dian/compilacion/docs/estatuto_tributario.htm" TargetMode="External"/><Relationship Id="rId7" Type="http://schemas.openxmlformats.org/officeDocument/2006/relationships/hyperlink" Target="https://normograma.dian.gov.co/dian/compilacion/docs/ley_1607_2012.htm" TargetMode="External"/><Relationship Id="rId71" Type="http://schemas.openxmlformats.org/officeDocument/2006/relationships/hyperlink" Target="http://secretariasenado.gov.co/senado/basedoc/estatuto_tributario_pr019.html" TargetMode="External"/><Relationship Id="rId92" Type="http://schemas.openxmlformats.org/officeDocument/2006/relationships/hyperlink" Target="https://normograma.dian.gov.co/dian/compilacion/docs/estatuto_tributario.htm" TargetMode="External"/><Relationship Id="rId2" Type="http://schemas.openxmlformats.org/officeDocument/2006/relationships/styles" Target="styles.xml"/><Relationship Id="rId29" Type="http://schemas.openxmlformats.org/officeDocument/2006/relationships/hyperlink" Target="https://normograma.dian.gov.co/dian/compilacion/docs/estatuto_tributario.htm" TargetMode="External"/><Relationship Id="rId24" Type="http://schemas.openxmlformats.org/officeDocument/2006/relationships/hyperlink" Target="https://normograma.dian.gov.co/dian/compilacion/docs/estatuto_tributario.htm" TargetMode="External"/><Relationship Id="rId40" Type="http://schemas.openxmlformats.org/officeDocument/2006/relationships/hyperlink" Target="https://normograma.dian.gov.co/dian/compilacion/docs/estatuto_tributario.htm" TargetMode="External"/><Relationship Id="rId45" Type="http://schemas.openxmlformats.org/officeDocument/2006/relationships/hyperlink" Target="https://normograma.dian.gov.co/dian/compilacion/docs/estatuto_tributario.htm" TargetMode="External"/><Relationship Id="rId66" Type="http://schemas.openxmlformats.org/officeDocument/2006/relationships/hyperlink" Target="http://www.secretariasenado.gov.co/senado/basedoc/ley_0223_1995.html" TargetMode="External"/><Relationship Id="rId87" Type="http://schemas.openxmlformats.org/officeDocument/2006/relationships/hyperlink" Target="http://www.secretariasenado.gov.co/senado/basedoc/decreto_1228_1995.html" TargetMode="External"/><Relationship Id="rId110" Type="http://schemas.openxmlformats.org/officeDocument/2006/relationships/hyperlink" Target="https://www.dian.gov.co/normatividad/Normatividad/Resoluci%C3%B3n%20000008%20de%2031-01-2025.pdf" TargetMode="External"/><Relationship Id="rId115" Type="http://schemas.openxmlformats.org/officeDocument/2006/relationships/hyperlink" Target="http://www.secretariasenado.gov.co/senado/basedoc/decreto_0691_2017.html" TargetMode="External"/><Relationship Id="rId61" Type="http://schemas.openxmlformats.org/officeDocument/2006/relationships/hyperlink" Target="http://www.secretariasenado.gov.co/senado/basedoc/ley_0223_1995.html" TargetMode="External"/><Relationship Id="rId82" Type="http://schemas.openxmlformats.org/officeDocument/2006/relationships/hyperlink" Target="http://www.secretariasenado.gov.co/senado/basedoc/ley_0100_1993_pr002.html" TargetMode="External"/><Relationship Id="rId19" Type="http://schemas.openxmlformats.org/officeDocument/2006/relationships/hyperlink" Target="https://normograma.dian.gov.co/dian/compilacion/docs/estatuto_tributario.htm" TargetMode="External"/><Relationship Id="rId14" Type="http://schemas.openxmlformats.org/officeDocument/2006/relationships/hyperlink" Target="https://normograma.dian.gov.co/dian/compilacion/docs/estatuto_tributario.htm" TargetMode="External"/><Relationship Id="rId30" Type="http://schemas.openxmlformats.org/officeDocument/2006/relationships/hyperlink" Target="https://normograma.dian.gov.co/dian/compilacion/docs/estatuto_tributario.htm" TargetMode="External"/><Relationship Id="rId35" Type="http://schemas.openxmlformats.org/officeDocument/2006/relationships/hyperlink" Target="https://normograma.dian.gov.co/dian/compilacion/docs/estatuto_tributario.htm" TargetMode="External"/><Relationship Id="rId56" Type="http://schemas.openxmlformats.org/officeDocument/2006/relationships/hyperlink" Target="http://www.secretariasenado.gov.co/senado/basedoc/ley_1753_2015_pr003.html" TargetMode="External"/><Relationship Id="rId77" Type="http://schemas.openxmlformats.org/officeDocument/2006/relationships/hyperlink" Target="http://www.secretariasenado.gov.co/senado/basedoc/estatuto_tributario_pr018.html" TargetMode="External"/><Relationship Id="rId100" Type="http://schemas.openxmlformats.org/officeDocument/2006/relationships/hyperlink" Target="https://normograma.dian.gov.co/dian/compilacion/docs/ley_2277_2022.htm" TargetMode="External"/><Relationship Id="rId105" Type="http://schemas.openxmlformats.org/officeDocument/2006/relationships/hyperlink" Target="https://normograma.dian.gov.co/dian/compilacion/docs/ley_0031_1992.htm" TargetMode="External"/><Relationship Id="rId8" Type="http://schemas.openxmlformats.org/officeDocument/2006/relationships/hyperlink" Target="http://www.secretariasenado.gov.co/senado/basedoc/estatuto_tributario_pr001.html" TargetMode="External"/><Relationship Id="rId51" Type="http://schemas.openxmlformats.org/officeDocument/2006/relationships/hyperlink" Target="http://www.secretariasenado.gov.co/senado/basedoc/estatuto_tributario_pr019.html" TargetMode="External"/><Relationship Id="rId72" Type="http://schemas.openxmlformats.org/officeDocument/2006/relationships/hyperlink" Target="http://secretariasenado.gov.co/senado/basedoc/ley_1955_2019_pr001.html" TargetMode="External"/><Relationship Id="rId93" Type="http://schemas.openxmlformats.org/officeDocument/2006/relationships/hyperlink" Target="https://normograma.dian.gov.co/dian/compilacion/docs/ley_1341_2009.htm" TargetMode="External"/><Relationship Id="rId98" Type="http://schemas.openxmlformats.org/officeDocument/2006/relationships/hyperlink" Target="https://normograma.dian.gov.co/dian/compilacion/docs/estatuto_tributario.htm" TargetMode="External"/><Relationship Id="rId3" Type="http://schemas.openxmlformats.org/officeDocument/2006/relationships/settings" Target="settings.xml"/><Relationship Id="rId25" Type="http://schemas.openxmlformats.org/officeDocument/2006/relationships/hyperlink" Target="https://normograma.dian.gov.co/dian/compilacion/docs/estatuto_tributario.htm" TargetMode="External"/><Relationship Id="rId46" Type="http://schemas.openxmlformats.org/officeDocument/2006/relationships/hyperlink" Target="https://normograma.dian.gov.co/dian/compilacion/docs/ley_2411_2024.htm" TargetMode="External"/><Relationship Id="rId67" Type="http://schemas.openxmlformats.org/officeDocument/2006/relationships/hyperlink" Target="http://www.secretariasenado.gov.co/senado/basedoc/ley_0550_1999.html" TargetMode="External"/><Relationship Id="rId116" Type="http://schemas.openxmlformats.org/officeDocument/2006/relationships/hyperlink" Target="http://www.secretariasenado.gov.co/senado/basedoc/ley_1698_2013.html" TargetMode="External"/><Relationship Id="rId20" Type="http://schemas.openxmlformats.org/officeDocument/2006/relationships/hyperlink" Target="https://normograma.dian.gov.co/dian/compilacion/docs/estatuto_tributario.htm" TargetMode="External"/><Relationship Id="rId41" Type="http://schemas.openxmlformats.org/officeDocument/2006/relationships/hyperlink" Target="https://normograma.dian.gov.co/dian/compilacion/docs/ley_1430_2010.htm" TargetMode="External"/><Relationship Id="rId62" Type="http://schemas.openxmlformats.org/officeDocument/2006/relationships/hyperlink" Target="http://www.secretariasenado.gov.co/senado/basedoc/ley_0550_1999.html" TargetMode="External"/><Relationship Id="rId83" Type="http://schemas.openxmlformats.org/officeDocument/2006/relationships/hyperlink" Target="http://www.secretariasenado.gov.co/senado/basedoc/ley_0030_1992.html" TargetMode="External"/><Relationship Id="rId88" Type="http://schemas.openxmlformats.org/officeDocument/2006/relationships/hyperlink" Target="http://www.secretariasenado.gov.co/senado/basedoc/estatuto_tributario_pr019.html" TargetMode="External"/><Relationship Id="rId111" Type="http://schemas.openxmlformats.org/officeDocument/2006/relationships/hyperlink" Target="https://www.dian.gov.co/normatividad/Normatividad/Resoluci%C3%B3n%20000008%20de%2031-01-2025.pdf" TargetMode="External"/><Relationship Id="rId15" Type="http://schemas.openxmlformats.org/officeDocument/2006/relationships/hyperlink" Target="https://normograma.dian.gov.co/dian/compilacion/docs/estatuto_tributario.htm" TargetMode="External"/><Relationship Id="rId36" Type="http://schemas.openxmlformats.org/officeDocument/2006/relationships/hyperlink" Target="https://normograma.dian.gov.co/dian/compilacion/docs/estatuto_tributario.htm" TargetMode="External"/><Relationship Id="rId57" Type="http://schemas.openxmlformats.org/officeDocument/2006/relationships/hyperlink" Target="http://www.secretariasenado.gov.co/senado/basedoc/ley_0098_1993.html" TargetMode="External"/><Relationship Id="rId106" Type="http://schemas.openxmlformats.org/officeDocument/2006/relationships/hyperlink" Target="https://normograma.dian.gov.co/dian/compilacion/docs/ley_0031_1992.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551</TotalTime>
  <Pages>149</Pages>
  <Words>89466</Words>
  <Characters>492067</Characters>
  <Application>Microsoft Office Word</Application>
  <DocSecurity>0</DocSecurity>
  <Lines>4100</Lines>
  <Paragraphs>1160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89</cp:revision>
  <dcterms:created xsi:type="dcterms:W3CDTF">2024-09-19T16:56:00Z</dcterms:created>
  <dcterms:modified xsi:type="dcterms:W3CDTF">2025-10-02T18:23:00Z</dcterms:modified>
</cp:coreProperties>
</file>